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B896" w14:textId="77777777" w:rsidR="0062478D" w:rsidRPr="0062478D" w:rsidRDefault="0062478D" w:rsidP="0062478D">
      <w:pPr>
        <w:rPr>
          <w:b/>
          <w:bCs/>
        </w:rPr>
      </w:pPr>
      <w:r w:rsidRPr="0062478D">
        <w:rPr>
          <w:b/>
          <w:bCs/>
        </w:rPr>
        <w:t>The Johns Hopkins Hospital, Ethics for Lunch Series</w:t>
      </w:r>
    </w:p>
    <w:p w14:paraId="2D77328D" w14:textId="64CE477C" w:rsidR="0062478D" w:rsidRDefault="0062478D" w:rsidP="0062478D">
      <w:r w:rsidRPr="0062478D">
        <w:rPr>
          <w:b/>
          <w:bCs/>
        </w:rPr>
        <w:t>Topic:</w:t>
      </w:r>
      <w:r>
        <w:t xml:space="preserve"> Medically Ineffective Treatment at End of Life: An Enduring Ethical Challenge</w:t>
      </w:r>
    </w:p>
    <w:p w14:paraId="50DB1FD1" w14:textId="00910D35" w:rsidR="0062478D" w:rsidRDefault="0062478D" w:rsidP="0062478D">
      <w:r w:rsidRPr="0062478D">
        <w:rPr>
          <w:b/>
          <w:bCs/>
        </w:rPr>
        <w:t>Date:</w:t>
      </w:r>
      <w:r>
        <w:t xml:space="preserve"> December 19</w:t>
      </w:r>
      <w:r w:rsidRPr="0062478D">
        <w:rPr>
          <w:vertAlign w:val="superscript"/>
        </w:rPr>
        <w:t>th</w:t>
      </w:r>
      <w:r>
        <w:t>, 2023</w:t>
      </w:r>
    </w:p>
    <w:p w14:paraId="0160718B" w14:textId="3A973BE8" w:rsidR="0062478D" w:rsidRDefault="0062478D" w:rsidP="0062478D">
      <w:r w:rsidRPr="0062478D">
        <w:rPr>
          <w:b/>
          <w:bCs/>
        </w:rPr>
        <w:t>Panelists:</w:t>
      </w:r>
      <w:r>
        <w:t xml:space="preserve"> Caitlin McGeehan RN, BSN; Alison Turnbull DVM, MPH, PhD; Jeff </w:t>
      </w:r>
      <w:proofErr w:type="spellStart"/>
      <w:r>
        <w:t>Natterman</w:t>
      </w:r>
      <w:proofErr w:type="spellEnd"/>
      <w:r>
        <w:t xml:space="preserve"> RRT, MA, JD; John </w:t>
      </w:r>
      <w:proofErr w:type="spellStart"/>
      <w:r>
        <w:t>Ponnala</w:t>
      </w:r>
      <w:proofErr w:type="spellEnd"/>
      <w:r>
        <w:t xml:space="preserve"> MA, BD</w:t>
      </w:r>
    </w:p>
    <w:p w14:paraId="6BF08216" w14:textId="24D75307" w:rsidR="0062478D" w:rsidRDefault="0062478D" w:rsidP="0062478D">
      <w:r w:rsidRPr="0062478D">
        <w:rPr>
          <w:b/>
          <w:bCs/>
        </w:rPr>
        <w:t>Facilitator:</w:t>
      </w:r>
      <w:r>
        <w:t xml:space="preserve"> Lauren Berninger DO, MBE</w:t>
      </w:r>
    </w:p>
    <w:p w14:paraId="2E4FFDB4" w14:textId="24BC8017" w:rsidR="0062478D" w:rsidRDefault="0062478D" w:rsidP="0062478D">
      <w:r>
        <w:t>The December 2023 Ethics for Lunch event focused on navigating requests for medically ineffective treatment at the end of life.  The longstanding issue of globally defining what constitutes medical</w:t>
      </w:r>
      <w:r w:rsidRPr="0062478D">
        <w:rPr>
          <w:i/>
          <w:iCs/>
        </w:rPr>
        <w:t xml:space="preserve"> futility</w:t>
      </w:r>
      <w:r>
        <w:t xml:space="preserve"> was raised and the driving forces behind the provision of medically ineffective interventions were discussed.  </w:t>
      </w:r>
      <w:r w:rsidR="00023FE4">
        <w:t xml:space="preserve">The definition of medically ineffective treatment and the </w:t>
      </w:r>
      <w:r>
        <w:t xml:space="preserve">process for navigating requests for medically ineffective treatment </w:t>
      </w:r>
      <w:r w:rsidR="00023FE4">
        <w:t xml:space="preserve">as outlined by the Maryland Healthcare Decisions Act was discussed.  </w:t>
      </w:r>
    </w:p>
    <w:p w14:paraId="337D4CE2" w14:textId="55432D71" w:rsidR="0062478D" w:rsidRPr="00344B44" w:rsidRDefault="00023FE4" w:rsidP="0062478D">
      <w:r>
        <w:t xml:space="preserve">The panelists </w:t>
      </w:r>
      <w:r w:rsidR="00344B44">
        <w:t xml:space="preserve">reflected on </w:t>
      </w:r>
      <w:r>
        <w:t xml:space="preserve">the case of a geriatric patient with advanced dementia complicated by recurrent aspiration and severe infections who the medical team determined was approaching end of life.  The patient was unable to tolerate a feeding tube due to severe agitation and the team recommended comfort focused care and a transition to hospice.  The patient’s surrogate decision maker declined this recommendation requesting that the patient have a </w:t>
      </w:r>
      <w:r w:rsidR="00344B44">
        <w:t xml:space="preserve">permanent </w:t>
      </w:r>
      <w:r>
        <w:t xml:space="preserve">feeding tube placed and </w:t>
      </w:r>
      <w:r w:rsidR="00CF392A">
        <w:t xml:space="preserve">receive </w:t>
      </w:r>
      <w:r>
        <w:t xml:space="preserve">all aggressive measures including CPR and intubation to prolong life.  The case </w:t>
      </w:r>
      <w:r w:rsidR="00CF392A">
        <w:t xml:space="preserve">underscored the </w:t>
      </w:r>
      <w:r>
        <w:t xml:space="preserve">challenges healthcare staff </w:t>
      </w:r>
      <w:r w:rsidR="00CF392A">
        <w:t>members,</w:t>
      </w:r>
      <w:r>
        <w:t xml:space="preserve"> patients and families face in dealing with requests for </w:t>
      </w:r>
      <w:r w:rsidR="00CF392A">
        <w:t>medically ineffective treatments</w:t>
      </w:r>
      <w:r>
        <w:t xml:space="preserve"> at the end of life.  </w:t>
      </w:r>
      <w:r w:rsidR="00CF392A">
        <w:t xml:space="preserve">The panelists discussed how past experiences, mistrust and ineffective communication contribute to requests for medically ineffective treatment.   </w:t>
      </w:r>
      <w:r w:rsidR="00621C03">
        <w:t xml:space="preserve">Additionally, the panelists discussed how cases such as this one can </w:t>
      </w:r>
      <w:proofErr w:type="gramStart"/>
      <w:r w:rsidR="00621C03">
        <w:t>lead</w:t>
      </w:r>
      <w:proofErr w:type="gramEnd"/>
      <w:r w:rsidR="00621C03">
        <w:t xml:space="preserve"> to staff moral distress and how to maintain professionalism and continue effectively supporting patients and families in these challenging situations.  </w:t>
      </w:r>
    </w:p>
    <w:p w14:paraId="04BA0565" w14:textId="77777777" w:rsidR="0062478D" w:rsidRPr="00344B44" w:rsidRDefault="0062478D" w:rsidP="0062478D">
      <w:pPr>
        <w:rPr>
          <w:b/>
          <w:bCs/>
        </w:rPr>
      </w:pPr>
      <w:r w:rsidRPr="00344B44">
        <w:rPr>
          <w:b/>
          <w:bCs/>
        </w:rPr>
        <w:t>Recommendations:</w:t>
      </w:r>
    </w:p>
    <w:p w14:paraId="71ADC96A" w14:textId="14759AEB" w:rsidR="00CF392A" w:rsidRDefault="00CF392A" w:rsidP="00CF392A">
      <w:pPr>
        <w:pStyle w:val="ListParagraph"/>
        <w:numPr>
          <w:ilvl w:val="0"/>
          <w:numId w:val="1"/>
        </w:numPr>
      </w:pPr>
      <w:r>
        <w:t xml:space="preserve">Physicians in the state of Maryland should refer to the definition of medically ineffective treatment as defined by the Maryland </w:t>
      </w:r>
      <w:r w:rsidR="00344B44">
        <w:t>H</w:t>
      </w:r>
      <w:r>
        <w:t xml:space="preserve">ealthcare </w:t>
      </w:r>
      <w:r w:rsidR="00344B44">
        <w:t>D</w:t>
      </w:r>
      <w:r>
        <w:t xml:space="preserve">ecisions Act when deciding whether a treatment is medically ineffective.  </w:t>
      </w:r>
    </w:p>
    <w:p w14:paraId="676E53D3" w14:textId="683E84BF" w:rsidR="00344B44" w:rsidRDefault="00344B44" w:rsidP="00344B44">
      <w:pPr>
        <w:pStyle w:val="ListParagraph"/>
        <w:numPr>
          <w:ilvl w:val="0"/>
          <w:numId w:val="1"/>
        </w:numPr>
      </w:pPr>
      <w:r>
        <w:t>Respect for autonomy does not compel physicians to provide treatments that are deemed medically ineffective</w:t>
      </w:r>
      <w:r w:rsidR="00B63B09">
        <w:t xml:space="preserve"> even if patients and family members request them</w:t>
      </w:r>
      <w:r>
        <w:t xml:space="preserve">.  Physicians in the state of Maryland should follow the process outlined by the Maryland Healthcare Decisions Act when dealing with cases involving medically ineffective treatments. </w:t>
      </w:r>
    </w:p>
    <w:p w14:paraId="2C978E26" w14:textId="6D54BD32" w:rsidR="00344B44" w:rsidRDefault="00344B44" w:rsidP="00344B44">
      <w:pPr>
        <w:pStyle w:val="ListParagraph"/>
        <w:numPr>
          <w:ilvl w:val="0"/>
          <w:numId w:val="1"/>
        </w:numPr>
      </w:pPr>
      <w:r>
        <w:t>Streamlining communication and avoiding mixed messaging is important in the care of seriously ill patients</w:t>
      </w:r>
      <w:r w:rsidR="00B63B09">
        <w:t xml:space="preserve"> approaching end of life</w:t>
      </w:r>
      <w:r>
        <w:t xml:space="preserve">.  </w:t>
      </w:r>
    </w:p>
    <w:p w14:paraId="15FF2AA0" w14:textId="180B8A63" w:rsidR="00344B44" w:rsidRDefault="00344B44" w:rsidP="00344B44">
      <w:pPr>
        <w:pStyle w:val="ListParagraph"/>
        <w:numPr>
          <w:ilvl w:val="0"/>
          <w:numId w:val="1"/>
        </w:numPr>
      </w:pPr>
      <w:r>
        <w:t xml:space="preserve">Exploring patients’ past healthcare experiences can be helpful in cases of suspected healthcare mistrust. </w:t>
      </w:r>
    </w:p>
    <w:p w14:paraId="07ACAC58" w14:textId="793561A5" w:rsidR="00344B44" w:rsidRDefault="00344B44" w:rsidP="00344B44">
      <w:pPr>
        <w:pStyle w:val="ListParagraph"/>
        <w:numPr>
          <w:ilvl w:val="0"/>
          <w:numId w:val="1"/>
        </w:numPr>
      </w:pPr>
      <w:r>
        <w:t xml:space="preserve">Consult services such as Palliative Medicine, Spiritual Care and the Ethics Committee are </w:t>
      </w:r>
      <w:r w:rsidR="003B16E4">
        <w:t xml:space="preserve">valuable </w:t>
      </w:r>
      <w:r>
        <w:t xml:space="preserve">resources for patients, families and staff members in these challenging situations.  </w:t>
      </w:r>
    </w:p>
    <w:p w14:paraId="0125F149" w14:textId="77777777" w:rsidR="00621C03" w:rsidRDefault="00621C03" w:rsidP="00344B44">
      <w:pPr>
        <w:rPr>
          <w:b/>
          <w:bCs/>
        </w:rPr>
      </w:pPr>
    </w:p>
    <w:p w14:paraId="2B48741E" w14:textId="77777777" w:rsidR="00621C03" w:rsidRDefault="00621C03" w:rsidP="00344B44">
      <w:pPr>
        <w:rPr>
          <w:b/>
          <w:bCs/>
        </w:rPr>
      </w:pPr>
    </w:p>
    <w:p w14:paraId="791262B8" w14:textId="27A620E3" w:rsidR="00344B44" w:rsidRDefault="00344B44" w:rsidP="00344B44">
      <w:pPr>
        <w:rPr>
          <w:b/>
          <w:bCs/>
        </w:rPr>
      </w:pPr>
      <w:r>
        <w:rPr>
          <w:b/>
          <w:bCs/>
        </w:rPr>
        <w:lastRenderedPageBreak/>
        <w:t xml:space="preserve">Resources: </w:t>
      </w:r>
    </w:p>
    <w:p w14:paraId="2435E856" w14:textId="4EA9CFFF" w:rsidR="00344B44" w:rsidRDefault="00344B44" w:rsidP="004F41B6">
      <w:pPr>
        <w:pStyle w:val="ListParagraph"/>
        <w:numPr>
          <w:ilvl w:val="0"/>
          <w:numId w:val="2"/>
        </w:numPr>
      </w:pPr>
      <w:r>
        <w:t xml:space="preserve">American Geriatrics Society Ethics Committee and Clinical Practice and Models of Care Committee. American Geriatrics Society feeding tubes in advanced dementia position statement. (2014) J Am </w:t>
      </w:r>
      <w:proofErr w:type="spellStart"/>
      <w:r>
        <w:t>Geriatr</w:t>
      </w:r>
      <w:proofErr w:type="spellEnd"/>
      <w:r>
        <w:t xml:space="preserve"> Soc, 62(8):1590-3. </w:t>
      </w:r>
      <w:proofErr w:type="spellStart"/>
      <w:r>
        <w:t>doi</w:t>
      </w:r>
      <w:proofErr w:type="spellEnd"/>
      <w:r>
        <w:t xml:space="preserve">: 10.1111/jgs.12924. </w:t>
      </w:r>
      <w:proofErr w:type="spellStart"/>
      <w:r>
        <w:t>Epub</w:t>
      </w:r>
      <w:proofErr w:type="spellEnd"/>
      <w:r>
        <w:t xml:space="preserve"> 2014 Jul 17. PMID: 25039796.</w:t>
      </w:r>
    </w:p>
    <w:p w14:paraId="431EE7C9" w14:textId="2C19820B" w:rsidR="00344B44" w:rsidRPr="004F41B6" w:rsidRDefault="00344B44" w:rsidP="004F41B6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4F41B6">
        <w:rPr>
          <w:rFonts w:ascii="Calibri" w:eastAsia="Calibri" w:hAnsi="Calibri" w:cs="Calibri"/>
        </w:rPr>
        <w:t>Bosslet</w:t>
      </w:r>
      <w:proofErr w:type="spellEnd"/>
      <w:r w:rsidRPr="004F41B6">
        <w:rPr>
          <w:rFonts w:ascii="Calibri" w:eastAsia="Calibri" w:hAnsi="Calibri" w:cs="Calibri"/>
        </w:rPr>
        <w:t>, G. T. et al. (2015). An official ATS/AACN/ACCP/ESICM/SCCM policy statement: Responding to requests for potentially inappropriate treatments in intensive care units. American Journal of Respiratory and Critical Care Medicine, 191(11), 1318-1330. doi:10.1164/rccm.201505-0924st</w:t>
      </w:r>
    </w:p>
    <w:p w14:paraId="13AEDADF" w14:textId="58D184B8" w:rsidR="00344B44" w:rsidRPr="004F41B6" w:rsidRDefault="00344B44" w:rsidP="004F41B6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4F41B6">
        <w:rPr>
          <w:rFonts w:ascii="Calibri" w:eastAsia="Calibri" w:hAnsi="Calibri" w:cs="Calibri"/>
        </w:rPr>
        <w:t xml:space="preserve">Davies N, et al. (2021). Enteral tube feeding for people with severe dementia. Cochrane Database Syst Rev.  Aug 13;8(8):CD013503. </w:t>
      </w:r>
      <w:proofErr w:type="spellStart"/>
      <w:r w:rsidRPr="004F41B6">
        <w:rPr>
          <w:rFonts w:ascii="Calibri" w:eastAsia="Calibri" w:hAnsi="Calibri" w:cs="Calibri"/>
        </w:rPr>
        <w:t>doi</w:t>
      </w:r>
      <w:proofErr w:type="spellEnd"/>
      <w:r w:rsidRPr="004F41B6">
        <w:rPr>
          <w:rFonts w:ascii="Calibri" w:eastAsia="Calibri" w:hAnsi="Calibri" w:cs="Calibri"/>
        </w:rPr>
        <w:t>: 10.1002/14651858.CD013503.pub2. PMID: 34387363; PMCID: PMC8407048.</w:t>
      </w:r>
    </w:p>
    <w:p w14:paraId="360F501D" w14:textId="6ADAB118" w:rsidR="00344B44" w:rsidRPr="004F41B6" w:rsidRDefault="00344B44" w:rsidP="004F41B6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4F41B6">
        <w:rPr>
          <w:rFonts w:ascii="Calibri" w:eastAsia="Calibri" w:hAnsi="Calibri" w:cs="Calibri"/>
        </w:rPr>
        <w:t xml:space="preserve">Maryland Attorney General - Health Care Decisions Act. </w:t>
      </w:r>
      <w:hyperlink r:id="rId5" w:history="1">
        <w:r w:rsidRPr="004F41B6">
          <w:rPr>
            <w:rStyle w:val="Hyperlink"/>
            <w:rFonts w:ascii="Calibri" w:eastAsia="Calibri" w:hAnsi="Calibri" w:cs="Calibri"/>
          </w:rPr>
          <w:t>https://www.marylandattorneygeneral.gov/Pages/HealthPolicy/hcda.aspx</w:t>
        </w:r>
      </w:hyperlink>
    </w:p>
    <w:p w14:paraId="2F10D3F9" w14:textId="62FB9D35" w:rsidR="004F41B6" w:rsidRPr="004F41B6" w:rsidRDefault="004F41B6" w:rsidP="004F41B6">
      <w:pPr>
        <w:pStyle w:val="ListParagraph"/>
        <w:numPr>
          <w:ilvl w:val="0"/>
          <w:numId w:val="2"/>
        </w:numPr>
      </w:pPr>
      <w:r w:rsidRPr="004F41B6">
        <w:t>Medically ineffective interventions. AMA. https://code-medical-ethics.ama-assn.org/ethics-opinions/medically-ineffective-interventions ​</w:t>
      </w:r>
    </w:p>
    <w:p w14:paraId="3B8A2248" w14:textId="42F0BB2E" w:rsidR="004F41B6" w:rsidRPr="004F41B6" w:rsidRDefault="004F41B6" w:rsidP="004F41B6">
      <w:pPr>
        <w:pStyle w:val="ListParagraph"/>
        <w:numPr>
          <w:ilvl w:val="0"/>
          <w:numId w:val="2"/>
        </w:numPr>
      </w:pPr>
      <w:r w:rsidRPr="004F41B6">
        <w:t xml:space="preserve">Neville, et al.  (2020). The community perspective on potentially inappropriate treatment. Annals of the American Thoracic </w:t>
      </w:r>
      <w:proofErr w:type="gramStart"/>
      <w:r w:rsidRPr="004F41B6">
        <w:t>Society,  17</w:t>
      </w:r>
      <w:proofErr w:type="gramEnd"/>
      <w:r w:rsidRPr="004F41B6">
        <w:t>(7), 854-859. doi:10.1513/AnnalsATS.201912-890OC ​</w:t>
      </w:r>
    </w:p>
    <w:p w14:paraId="0D78B217" w14:textId="51FA810F" w:rsidR="004F41B6" w:rsidRPr="004F41B6" w:rsidRDefault="004F41B6" w:rsidP="004F41B6">
      <w:pPr>
        <w:pStyle w:val="ListParagraph"/>
        <w:numPr>
          <w:ilvl w:val="0"/>
          <w:numId w:val="2"/>
        </w:numPr>
      </w:pPr>
      <w:r w:rsidRPr="004F41B6">
        <w:t>Pope, T. M. (2011). Legal briefing: Futile or non-beneficial treatment. The Journal of Clinical Ethics, 22(3), 277. Retrieved from https://www.ncbi.nlm.nih.gov/pubmed/2216799 ​</w:t>
      </w:r>
    </w:p>
    <w:p w14:paraId="5099885D" w14:textId="178B6ED8" w:rsidR="004F41B6" w:rsidRPr="004F41B6" w:rsidRDefault="004F41B6" w:rsidP="004F41B6">
      <w:pPr>
        <w:pStyle w:val="ListParagraph"/>
        <w:numPr>
          <w:ilvl w:val="0"/>
          <w:numId w:val="2"/>
        </w:numPr>
      </w:pPr>
      <w:r w:rsidRPr="004F41B6">
        <w:t xml:space="preserve">Mitchell SL. Advanced Dementia. N </w:t>
      </w:r>
      <w:proofErr w:type="spellStart"/>
      <w:r w:rsidRPr="004F41B6">
        <w:t>Engl</w:t>
      </w:r>
      <w:proofErr w:type="spellEnd"/>
      <w:r w:rsidRPr="004F41B6">
        <w:t xml:space="preserve"> J Med. 2015 Sep 24;373(13):1276-7.​</w:t>
      </w:r>
    </w:p>
    <w:p w14:paraId="3BE944BA" w14:textId="51BC92CA" w:rsidR="00344B44" w:rsidRPr="004F41B6" w:rsidRDefault="004F41B6" w:rsidP="004F41B6">
      <w:pPr>
        <w:pStyle w:val="ListParagraph"/>
        <w:numPr>
          <w:ilvl w:val="0"/>
          <w:numId w:val="2"/>
        </w:numPr>
      </w:pPr>
      <w:r w:rsidRPr="004F41B6">
        <w:t>Willmott, L. et al.  (2016). Reasons doctors provide futile treatment at the end of life: A qualitative study. Journal of Medical Ethics, 42(8), 496-503. doi:10.1136/medethics-2016-103370</w:t>
      </w:r>
    </w:p>
    <w:p w14:paraId="7D8BF7B9" w14:textId="56DE523A" w:rsidR="00082B36" w:rsidRDefault="00340B86" w:rsidP="0062478D"/>
    <w:sectPr w:rsidR="0008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1E0A"/>
    <w:multiLevelType w:val="hybridMultilevel"/>
    <w:tmpl w:val="641AB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C2201"/>
    <w:multiLevelType w:val="hybridMultilevel"/>
    <w:tmpl w:val="F9968056"/>
    <w:lvl w:ilvl="0" w:tplc="2F0AE0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8D"/>
    <w:rsid w:val="00023FE4"/>
    <w:rsid w:val="00340B86"/>
    <w:rsid w:val="00344B44"/>
    <w:rsid w:val="003B16E4"/>
    <w:rsid w:val="003B4596"/>
    <w:rsid w:val="004F41B6"/>
    <w:rsid w:val="00525399"/>
    <w:rsid w:val="00621C03"/>
    <w:rsid w:val="0062478D"/>
    <w:rsid w:val="009F1C7B"/>
    <w:rsid w:val="00B63B09"/>
    <w:rsid w:val="00C200C9"/>
    <w:rsid w:val="00CF392A"/>
    <w:rsid w:val="00F4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600C"/>
  <w15:chartTrackingRefBased/>
  <w15:docId w15:val="{FEC0EB85-9FE8-4B16-B9D1-1354826A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ylandattorneygeneral.gov/Pages/HealthPolicy/hcd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Berninger</dc:creator>
  <cp:keywords/>
  <dc:description/>
  <cp:lastModifiedBy>Lauren Berninger</cp:lastModifiedBy>
  <cp:revision>2</cp:revision>
  <dcterms:created xsi:type="dcterms:W3CDTF">2024-01-08T20:36:00Z</dcterms:created>
  <dcterms:modified xsi:type="dcterms:W3CDTF">2024-01-08T20:36:00Z</dcterms:modified>
</cp:coreProperties>
</file>