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F58D" w14:textId="0981808F" w:rsidR="000D3783" w:rsidRDefault="00F30537" w:rsidP="00F30537">
      <w:pPr>
        <w:jc w:val="center"/>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 xml:space="preserve">Panel </w:t>
      </w:r>
      <w:r w:rsidRPr="00285E63">
        <w:rPr>
          <w:rFonts w:ascii="Verdana" w:eastAsia="Times New Roman" w:hAnsi="Verdana" w:cs="Times New Roman"/>
          <w:b/>
          <w:bCs/>
          <w:color w:val="000000"/>
          <w:sz w:val="18"/>
          <w:szCs w:val="18"/>
        </w:rPr>
        <w:t>Summary</w:t>
      </w:r>
      <w:r w:rsidRPr="00285E63">
        <w:rPr>
          <w:rFonts w:ascii="Verdana" w:eastAsia="Times New Roman" w:hAnsi="Verdana" w:cs="Times New Roman"/>
          <w:color w:val="000000"/>
          <w:sz w:val="18"/>
          <w:szCs w:val="18"/>
        </w:rPr>
        <w:br/>
      </w:r>
      <w:r w:rsidRPr="00285E63">
        <w:rPr>
          <w:rFonts w:ascii="Verdana" w:eastAsia="Times New Roman" w:hAnsi="Verdana" w:cs="Times New Roman"/>
          <w:color w:val="000000"/>
          <w:sz w:val="18"/>
          <w:szCs w:val="18"/>
        </w:rPr>
        <w:br/>
      </w:r>
      <w:r>
        <w:rPr>
          <w:rFonts w:ascii="Verdana" w:eastAsia="Times New Roman" w:hAnsi="Verdana" w:cs="Times New Roman"/>
          <w:b/>
          <w:bCs/>
          <w:color w:val="8B0000"/>
          <w:sz w:val="18"/>
          <w:szCs w:val="18"/>
        </w:rPr>
        <w:t>Informed Consent: When Patients Change Their Minds</w:t>
      </w:r>
      <w:bookmarkStart w:id="0" w:name="_GoBack"/>
      <w:bookmarkEnd w:id="0"/>
      <w:r w:rsidRPr="00285E63">
        <w:rPr>
          <w:rFonts w:ascii="Verdana" w:eastAsia="Times New Roman" w:hAnsi="Verdana" w:cs="Times New Roman"/>
          <w:color w:val="000000"/>
          <w:sz w:val="18"/>
          <w:szCs w:val="18"/>
        </w:rPr>
        <w:br/>
        <w:t xml:space="preserve">Presented </w:t>
      </w:r>
      <w:r>
        <w:rPr>
          <w:rFonts w:ascii="Verdana" w:eastAsia="Times New Roman" w:hAnsi="Verdana" w:cs="Times New Roman"/>
          <w:color w:val="000000"/>
          <w:sz w:val="18"/>
          <w:szCs w:val="18"/>
        </w:rPr>
        <w:t>March</w:t>
      </w:r>
      <w:r w:rsidRPr="00285E63">
        <w:rPr>
          <w:rFonts w:ascii="Verdana" w:eastAsia="Times New Roman" w:hAnsi="Verdana" w:cs="Times New Roman"/>
          <w:color w:val="000000"/>
          <w:sz w:val="18"/>
          <w:szCs w:val="18"/>
        </w:rPr>
        <w:t xml:space="preserve"> 19, 2019</w:t>
      </w:r>
    </w:p>
    <w:p w14:paraId="769BCD1E" w14:textId="77777777" w:rsidR="00F30537" w:rsidRDefault="00F30537"/>
    <w:p w14:paraId="06800FB2" w14:textId="77777777" w:rsidR="00DC670E" w:rsidRDefault="008456CD" w:rsidP="003A452B">
      <w:r>
        <w:t xml:space="preserve">The March EFL explored the ethical challenges associated with patients who change their minds during </w:t>
      </w:r>
      <w:r w:rsidR="001E631B">
        <w:t>the informed</w:t>
      </w:r>
      <w:r>
        <w:t xml:space="preserve"> consent process.  </w:t>
      </w:r>
      <w:r w:rsidR="00A20E0E">
        <w:t xml:space="preserve">The ethical basis of informed consent </w:t>
      </w:r>
      <w:r w:rsidR="001E631B">
        <w:t xml:space="preserve">focuses on the ethical principle of </w:t>
      </w:r>
      <w:r w:rsidR="00DC670E">
        <w:t xml:space="preserve">respect for </w:t>
      </w:r>
      <w:r w:rsidR="001E631B">
        <w:t>autonomy-</w:t>
      </w:r>
      <w:r w:rsidR="00DC670E">
        <w:t>-</w:t>
      </w:r>
      <w:r w:rsidR="001E631B">
        <w:t>patients with decision</w:t>
      </w:r>
      <w:r w:rsidR="00DC670E">
        <w:t>-</w:t>
      </w:r>
      <w:r w:rsidR="001E631B">
        <w:t xml:space="preserve">making capacity have the right to accept or reject any medical therapy at any time.  To give their consent </w:t>
      </w:r>
      <w:r w:rsidR="00315EA8">
        <w:t xml:space="preserve">patients </w:t>
      </w:r>
      <w:r w:rsidR="001E631B">
        <w:t>must understand the treatment</w:t>
      </w:r>
      <w:r w:rsidR="00653852">
        <w:t xml:space="preserve"> and consequences and be able to choose</w:t>
      </w:r>
      <w:r w:rsidR="00DC670E" w:rsidRPr="00DC670E">
        <w:t xml:space="preserve"> freely</w:t>
      </w:r>
      <w:r w:rsidR="00653852" w:rsidRPr="00DC670E">
        <w:t>.</w:t>
      </w:r>
      <w:r w:rsidR="00653852">
        <w:t xml:space="preserve">  Within th</w:t>
      </w:r>
      <w:r w:rsidR="00DC670E">
        <w:t>e informed consent</w:t>
      </w:r>
      <w:r w:rsidR="00653852">
        <w:t xml:space="preserve"> process</w:t>
      </w:r>
      <w:r w:rsidR="00DC670E">
        <w:t>,</w:t>
      </w:r>
      <w:r w:rsidR="00653852">
        <w:t xml:space="preserve"> patients must weigh the benefits and burdens of the proposed treatment to determine if the balance is consistent with their goals</w:t>
      </w:r>
      <w:r w:rsidR="00114F3E">
        <w:t xml:space="preserve">, </w:t>
      </w:r>
      <w:r w:rsidR="00653852">
        <w:t>values</w:t>
      </w:r>
      <w:r w:rsidR="00114F3E">
        <w:t xml:space="preserve"> and risk appraisal.</w:t>
      </w:r>
      <w:r w:rsidR="00653852">
        <w:t xml:space="preserve">  </w:t>
      </w:r>
    </w:p>
    <w:p w14:paraId="79E6E199" w14:textId="77777777" w:rsidR="00DC670E" w:rsidRDefault="00DC670E" w:rsidP="003A452B"/>
    <w:p w14:paraId="2969A4CB" w14:textId="77777777" w:rsidR="00A20E0E" w:rsidRDefault="008456CD" w:rsidP="003A452B">
      <w:r>
        <w:t xml:space="preserve">The panel discussed the </w:t>
      </w:r>
      <w:r w:rsidR="007F4805">
        <w:t xml:space="preserve">case </w:t>
      </w:r>
      <w:r w:rsidR="00DC670E">
        <w:t xml:space="preserve">of a woman initially agrees to surgery in the presence of her daughter but then expresses doubts later on when talking to her nurse the night before her scheduled operation. The case was analyzed </w:t>
      </w:r>
      <w:r w:rsidR="007F4805">
        <w:t xml:space="preserve">through the lens of various perspectives including nursing, surgery and patient/family.  </w:t>
      </w:r>
    </w:p>
    <w:p w14:paraId="54E3BD1D" w14:textId="77777777" w:rsidR="003A452B" w:rsidRDefault="003A452B" w:rsidP="003A452B"/>
    <w:p w14:paraId="3FDAD24F" w14:textId="77777777" w:rsidR="003A452B" w:rsidRDefault="003A452B" w:rsidP="003A452B">
      <w:r>
        <w:t xml:space="preserve">Highlights included: </w:t>
      </w:r>
    </w:p>
    <w:p w14:paraId="48C2F332" w14:textId="77777777" w:rsidR="00A20E0E" w:rsidRDefault="00A20E0E" w:rsidP="00A20E0E">
      <w:pPr>
        <w:pStyle w:val="ListParagraph"/>
        <w:numPr>
          <w:ilvl w:val="0"/>
          <w:numId w:val="1"/>
        </w:numPr>
      </w:pPr>
      <w:r>
        <w:t xml:space="preserve"> The elements of informed consent include: </w:t>
      </w:r>
    </w:p>
    <w:p w14:paraId="79F89E7A" w14:textId="77777777" w:rsidR="00653852" w:rsidRDefault="00653852" w:rsidP="00653852">
      <w:pPr>
        <w:pStyle w:val="ListParagraph"/>
        <w:numPr>
          <w:ilvl w:val="1"/>
          <w:numId w:val="1"/>
        </w:numPr>
      </w:pPr>
      <w:r>
        <w:t>Preconditions or threshold elements</w:t>
      </w:r>
      <w:r w:rsidR="00F95ECE">
        <w:t xml:space="preserve"> of decision-making capacity and voluntariness</w:t>
      </w:r>
    </w:p>
    <w:p w14:paraId="51E49BF1" w14:textId="77777777" w:rsidR="00F95ECE" w:rsidRDefault="00F95ECE" w:rsidP="00F95ECE">
      <w:pPr>
        <w:pStyle w:val="ListParagraph"/>
        <w:numPr>
          <w:ilvl w:val="1"/>
          <w:numId w:val="1"/>
        </w:numPr>
      </w:pPr>
      <w:r>
        <w:t>Informational elements</w:t>
      </w:r>
    </w:p>
    <w:p w14:paraId="4A3F3C80" w14:textId="77777777" w:rsidR="00F95ECE" w:rsidRDefault="00F95ECE" w:rsidP="00F95ECE">
      <w:pPr>
        <w:pStyle w:val="ListParagraph"/>
        <w:numPr>
          <w:ilvl w:val="2"/>
          <w:numId w:val="1"/>
        </w:numPr>
      </w:pPr>
      <w:r>
        <w:t>Disclosure of medical information including consequences of treatment options and non-treatment</w:t>
      </w:r>
      <w:r w:rsidR="00DC670E">
        <w:t>;</w:t>
      </w:r>
      <w:r>
        <w:t xml:space="preserve"> likelihood of benefit</w:t>
      </w:r>
      <w:r w:rsidR="00DC670E">
        <w:t xml:space="preserve"> and</w:t>
      </w:r>
      <w:r>
        <w:t xml:space="preserve"> </w:t>
      </w:r>
      <w:r w:rsidR="00FE4A3F">
        <w:t>risks</w:t>
      </w:r>
      <w:r w:rsidR="00DC670E">
        <w:t>;</w:t>
      </w:r>
      <w:r w:rsidR="00FE4A3F">
        <w:t xml:space="preserve"> and other information that is meaningful for decision</w:t>
      </w:r>
      <w:r w:rsidR="00DC670E">
        <w:t>-</w:t>
      </w:r>
      <w:r w:rsidR="00FE4A3F">
        <w:t>making</w:t>
      </w:r>
      <w:r w:rsidR="00DC670E">
        <w:t>,</w:t>
      </w:r>
      <w:r w:rsidR="00524F0A">
        <w:t xml:space="preserve"> including the recovery process.</w:t>
      </w:r>
    </w:p>
    <w:p w14:paraId="7700CD11" w14:textId="77777777" w:rsidR="00FE4A3F" w:rsidRDefault="00FE4A3F" w:rsidP="00F95ECE">
      <w:pPr>
        <w:pStyle w:val="ListParagraph"/>
        <w:numPr>
          <w:ilvl w:val="2"/>
          <w:numId w:val="1"/>
        </w:numPr>
      </w:pPr>
      <w:r>
        <w:t>Professional recommendation and rationale</w:t>
      </w:r>
    </w:p>
    <w:p w14:paraId="74C80BD2" w14:textId="77777777" w:rsidR="00FE4A3F" w:rsidRDefault="00DC670E" w:rsidP="00F95ECE">
      <w:pPr>
        <w:pStyle w:val="ListParagraph"/>
        <w:numPr>
          <w:ilvl w:val="2"/>
          <w:numId w:val="1"/>
        </w:numPr>
      </w:pPr>
      <w:r>
        <w:t>Checking patient u</w:t>
      </w:r>
      <w:r w:rsidR="00FE4A3F">
        <w:t>nderstanding of disclosure and recommendations</w:t>
      </w:r>
    </w:p>
    <w:p w14:paraId="397A60DD" w14:textId="77777777" w:rsidR="00FE4A3F" w:rsidRDefault="00FE4A3F" w:rsidP="00FE4A3F">
      <w:pPr>
        <w:pStyle w:val="ListParagraph"/>
        <w:numPr>
          <w:ilvl w:val="1"/>
          <w:numId w:val="1"/>
        </w:numPr>
      </w:pPr>
      <w:r>
        <w:t>Consent elements</w:t>
      </w:r>
    </w:p>
    <w:p w14:paraId="26E2D594" w14:textId="77777777" w:rsidR="00FE4A3F" w:rsidRDefault="00FE4A3F" w:rsidP="00FE4A3F">
      <w:pPr>
        <w:pStyle w:val="ListParagraph"/>
        <w:numPr>
          <w:ilvl w:val="2"/>
          <w:numId w:val="1"/>
        </w:numPr>
      </w:pPr>
      <w:r>
        <w:t>Decision</w:t>
      </w:r>
    </w:p>
    <w:p w14:paraId="672859B1" w14:textId="77777777" w:rsidR="00FE4A3F" w:rsidRDefault="00FE4A3F" w:rsidP="00FE4A3F">
      <w:pPr>
        <w:pStyle w:val="ListParagraph"/>
        <w:numPr>
          <w:ilvl w:val="2"/>
          <w:numId w:val="1"/>
        </w:numPr>
      </w:pPr>
      <w:r>
        <w:t>Authorization (the signature on the form)</w:t>
      </w:r>
    </w:p>
    <w:p w14:paraId="1205CDB8" w14:textId="77777777" w:rsidR="00686F80" w:rsidRDefault="00686F80" w:rsidP="00686F80">
      <w:pPr>
        <w:pStyle w:val="ListParagraph"/>
        <w:numPr>
          <w:ilvl w:val="0"/>
          <w:numId w:val="1"/>
        </w:numPr>
      </w:pPr>
      <w:r>
        <w:t xml:space="preserve">It </w:t>
      </w:r>
      <w:r w:rsidR="00DC670E">
        <w:t>is important</w:t>
      </w:r>
      <w:r>
        <w:t xml:space="preserve"> to distinguish between the fear </w:t>
      </w:r>
      <w:r w:rsidR="00DC670E">
        <w:t xml:space="preserve">of undergoing a procedure </w:t>
      </w:r>
      <w:r>
        <w:t xml:space="preserve">and the decision </w:t>
      </w:r>
      <w:r w:rsidR="00DC670E">
        <w:t>whether or not to have the procedure</w:t>
      </w:r>
      <w:r>
        <w:t xml:space="preserve">.  </w:t>
      </w:r>
      <w:r w:rsidR="00DC670E">
        <w:t>Clinicians should</w:t>
      </w:r>
      <w:r>
        <w:t xml:space="preserve"> listen to the </w:t>
      </w:r>
      <w:r w:rsidR="00DC670E">
        <w:t xml:space="preserve">patient’s </w:t>
      </w:r>
      <w:r>
        <w:t xml:space="preserve">fears surrounding the procedure and </w:t>
      </w:r>
      <w:r w:rsidR="00DC670E">
        <w:t xml:space="preserve">try to elicit </w:t>
      </w:r>
      <w:r>
        <w:t>what the person’s actual goal is</w:t>
      </w:r>
      <w:r w:rsidR="00DC670E">
        <w:t>. This would entail</w:t>
      </w:r>
      <w:r>
        <w:t xml:space="preserve"> embracing</w:t>
      </w:r>
      <w:r w:rsidR="00DC670E">
        <w:t>,</w:t>
      </w:r>
      <w:r>
        <w:t xml:space="preserve"> rather than discounting</w:t>
      </w:r>
      <w:r w:rsidR="00DC670E">
        <w:t>,</w:t>
      </w:r>
      <w:r>
        <w:t xml:space="preserve"> the patient’s concern.</w:t>
      </w:r>
      <w:r w:rsidR="006D273A">
        <w:t xml:space="preserve"> Even if the patient has signed the form in the past, a new refusal or concern should </w:t>
      </w:r>
      <w:r w:rsidR="00DC670E">
        <w:t>prompt</w:t>
      </w:r>
      <w:r w:rsidR="005966CE">
        <w:t xml:space="preserve"> another conversation with the patient to discern whether the prior consent is still valid.</w:t>
      </w:r>
    </w:p>
    <w:p w14:paraId="03B1CD56" w14:textId="77777777" w:rsidR="00FB1A5F" w:rsidRDefault="00686F80" w:rsidP="006C70F2">
      <w:pPr>
        <w:pStyle w:val="ListParagraph"/>
        <w:numPr>
          <w:ilvl w:val="0"/>
          <w:numId w:val="1"/>
        </w:numPr>
      </w:pPr>
      <w:r>
        <w:t>T</w:t>
      </w:r>
      <w:r w:rsidR="003A452B">
        <w:t xml:space="preserve">he panel explored the complexity of distinguishing between ambivalence, normal worry and anxiety before surgery, and authentic refusal.  </w:t>
      </w:r>
      <w:r w:rsidR="00490440">
        <w:t>Responding to concerns could take the paths of “paternalistic” reassurance or of scolding the person for disrupting the institutional flow</w:t>
      </w:r>
      <w:r w:rsidR="006C70F2">
        <w:t>, but the preferred approach would be</w:t>
      </w:r>
      <w:r w:rsidR="00490440">
        <w:t xml:space="preserve"> taking the time to understand the nature of the refusal</w:t>
      </w:r>
      <w:r w:rsidR="008559D5">
        <w:t xml:space="preserve"> and postponing</w:t>
      </w:r>
      <w:r w:rsidR="006C70F2">
        <w:t xml:space="preserve"> </w:t>
      </w:r>
      <w:r w:rsidR="008559D5">
        <w:t>the procedure</w:t>
      </w:r>
      <w:r w:rsidR="006C70F2" w:rsidRPr="006C70F2">
        <w:t>, if necessary</w:t>
      </w:r>
      <w:r w:rsidR="008559D5" w:rsidRPr="006C70F2">
        <w:t>.</w:t>
      </w:r>
      <w:r>
        <w:t xml:space="preserve">  </w:t>
      </w:r>
      <w:r w:rsidR="006C70F2">
        <w:t>T</w:t>
      </w:r>
      <w:r>
        <w:t xml:space="preserve">ime pressures may </w:t>
      </w:r>
      <w:r w:rsidR="00757DAB">
        <w:t xml:space="preserve">undermine </w:t>
      </w:r>
      <w:r w:rsidR="006C70F2">
        <w:t xml:space="preserve">clinicians’ </w:t>
      </w:r>
      <w:r w:rsidR="00757DAB">
        <w:t>availability to listen to and understand patient’s concerns</w:t>
      </w:r>
      <w:r w:rsidR="00894FC4">
        <w:t xml:space="preserve"> </w:t>
      </w:r>
      <w:r w:rsidR="006C70F2">
        <w:lastRenderedPageBreak/>
        <w:t>empathetically, but finding the time to do so would be the optimal means of showing respect for a patient expressing uncertainty</w:t>
      </w:r>
      <w:r w:rsidR="00894FC4">
        <w:t>.</w:t>
      </w:r>
    </w:p>
    <w:p w14:paraId="571F0647" w14:textId="77777777" w:rsidR="005F619F" w:rsidRDefault="005F619F" w:rsidP="00452E03">
      <w:pPr>
        <w:pStyle w:val="ListParagraph"/>
        <w:numPr>
          <w:ilvl w:val="0"/>
          <w:numId w:val="1"/>
        </w:numPr>
      </w:pPr>
      <w:r>
        <w:t xml:space="preserve">A competent patient has the right to accept or reject any medical therapy.  When </w:t>
      </w:r>
      <w:r w:rsidR="00524F0A">
        <w:t xml:space="preserve">competent </w:t>
      </w:r>
      <w:r>
        <w:t>patient’s refuse</w:t>
      </w:r>
      <w:r w:rsidR="006C70F2">
        <w:t>, “</w:t>
      </w:r>
      <w:r>
        <w:t>No means no</w:t>
      </w:r>
      <w:r w:rsidR="006C70F2">
        <w:t>.”</w:t>
      </w:r>
      <w:r>
        <w:t xml:space="preserve"> </w:t>
      </w:r>
      <w:r w:rsidR="006C70F2">
        <w:t>A</w:t>
      </w:r>
      <w:r>
        <w:t xml:space="preserve">t the same time it may mean putting the brakes on the process </w:t>
      </w:r>
      <w:r w:rsidR="006C70F2">
        <w:t xml:space="preserve">leading to surgery in order </w:t>
      </w:r>
      <w:r>
        <w:t>to discern whether there may be other issues at play</w:t>
      </w:r>
      <w:r w:rsidR="006C70F2">
        <w:t>.</w:t>
      </w:r>
      <w:r>
        <w:t xml:space="preserve"> </w:t>
      </w:r>
      <w:r w:rsidR="006C70F2">
        <w:t>It also has to be determined whether</w:t>
      </w:r>
      <w:r>
        <w:t xml:space="preserve"> the patient’s refusal is temporary </w:t>
      </w:r>
      <w:r w:rsidR="006C70F2">
        <w:t>(“N</w:t>
      </w:r>
      <w:r>
        <w:t>o—not now</w:t>
      </w:r>
      <w:r w:rsidR="006C70F2">
        <w:t>”)</w:t>
      </w:r>
      <w:r>
        <w:t xml:space="preserve"> or a </w:t>
      </w:r>
      <w:r w:rsidR="00452E03">
        <w:t xml:space="preserve">permanent </w:t>
      </w:r>
      <w:r>
        <w:t>refusal</w:t>
      </w:r>
      <w:r w:rsidR="00452E03">
        <w:t>.</w:t>
      </w:r>
      <w:r w:rsidR="005675B3">
        <w:t xml:space="preserve"> </w:t>
      </w:r>
    </w:p>
    <w:p w14:paraId="5C40A7CF" w14:textId="77777777" w:rsidR="00894FC4" w:rsidRDefault="00894FC4" w:rsidP="00894FC4">
      <w:pPr>
        <w:pStyle w:val="ListParagraph"/>
        <w:numPr>
          <w:ilvl w:val="0"/>
          <w:numId w:val="1"/>
        </w:numPr>
      </w:pPr>
      <w:r>
        <w:t>In some cases, it is helpful to discern how the patient wants to make decisions and who they want to be involved in the process</w:t>
      </w:r>
      <w:r w:rsidR="006973DB">
        <w:t>,</w:t>
      </w:r>
      <w:r>
        <w:t xml:space="preserve"> including other family members. In some cases, patients may choose to exercise their autonomy by transferring their decision-making authority to someone else. Absent this transfer of authority, the presence of a health care agent does not negate </w:t>
      </w:r>
      <w:r w:rsidR="006973DB">
        <w:t>the fact that a</w:t>
      </w:r>
      <w:r>
        <w:t xml:space="preserve"> patient with decision</w:t>
      </w:r>
      <w:r w:rsidR="006973DB">
        <w:t>-</w:t>
      </w:r>
      <w:r>
        <w:t xml:space="preserve">making capacity </w:t>
      </w:r>
      <w:r w:rsidR="006973DB">
        <w:t xml:space="preserve">should be approached </w:t>
      </w:r>
      <w:r>
        <w:t xml:space="preserve">to make independent decisions. </w:t>
      </w:r>
    </w:p>
    <w:p w14:paraId="37729E1F" w14:textId="77777777" w:rsidR="006973DB" w:rsidRDefault="005F619F" w:rsidP="00452E03">
      <w:pPr>
        <w:pStyle w:val="ListParagraph"/>
        <w:numPr>
          <w:ilvl w:val="0"/>
          <w:numId w:val="1"/>
        </w:numPr>
      </w:pPr>
      <w:r>
        <w:t xml:space="preserve">Clinicians should be mindful of </w:t>
      </w:r>
      <w:r w:rsidR="006973DB">
        <w:t>the distinction between</w:t>
      </w:r>
      <w:r>
        <w:t xml:space="preserve"> persua</w:t>
      </w:r>
      <w:r w:rsidR="006973DB">
        <w:t>sion</w:t>
      </w:r>
      <w:r>
        <w:t xml:space="preserve"> </w:t>
      </w:r>
      <w:r w:rsidR="006973DB">
        <w:t>and</w:t>
      </w:r>
      <w:r>
        <w:t xml:space="preserve"> coercion</w:t>
      </w:r>
      <w:r w:rsidR="006973DB">
        <w:t xml:space="preserve">. </w:t>
      </w:r>
      <w:r>
        <w:t xml:space="preserve"> </w:t>
      </w:r>
      <w:r w:rsidR="006973DB">
        <w:t>A</w:t>
      </w:r>
      <w:r>
        <w:t xml:space="preserve"> clinician threaten</w:t>
      </w:r>
      <w:r w:rsidR="006973DB">
        <w:t>ing</w:t>
      </w:r>
      <w:r>
        <w:t xml:space="preserve"> to discontinue car</w:t>
      </w:r>
      <w:r w:rsidR="006973DB">
        <w:t>ing for</w:t>
      </w:r>
      <w:r>
        <w:t xml:space="preserve"> the patient </w:t>
      </w:r>
      <w:r w:rsidR="006973DB">
        <w:t>if the patient does not</w:t>
      </w:r>
      <w:r>
        <w:t xml:space="preserve"> accept their recommendation</w:t>
      </w:r>
      <w:r w:rsidR="006973DB">
        <w:t xml:space="preserve"> could be viewed as coercive</w:t>
      </w:r>
      <w:r>
        <w:t xml:space="preserve">. </w:t>
      </w:r>
      <w:r w:rsidR="006973DB">
        <w:t>It is a</w:t>
      </w:r>
      <w:r>
        <w:t>lso</w:t>
      </w:r>
      <w:r w:rsidR="006973DB">
        <w:t xml:space="preserve"> important</w:t>
      </w:r>
      <w:r>
        <w:t xml:space="preserve"> to recognize the power imbalance that may create undue pressure on patients to accept the team’s recommendation.</w:t>
      </w:r>
      <w:r w:rsidR="00452E03">
        <w:t xml:space="preserve"> </w:t>
      </w:r>
    </w:p>
    <w:p w14:paraId="4328D0A5" w14:textId="77777777" w:rsidR="005F619F" w:rsidRDefault="006973DB" w:rsidP="00452E03">
      <w:pPr>
        <w:pStyle w:val="ListParagraph"/>
        <w:numPr>
          <w:ilvl w:val="0"/>
          <w:numId w:val="1"/>
        </w:numPr>
      </w:pPr>
      <w:r>
        <w:t>The panel</w:t>
      </w:r>
      <w:r w:rsidR="00452E03">
        <w:t xml:space="preserve"> proposed that we re-frame refusal</w:t>
      </w:r>
      <w:r>
        <w:t>—rather than being seen</w:t>
      </w:r>
      <w:r w:rsidR="00452E03">
        <w:t xml:space="preserve"> as a rejection of clinical expertise</w:t>
      </w:r>
      <w:r>
        <w:t xml:space="preserve">, a </w:t>
      </w:r>
      <w:r w:rsidR="00F13DAE">
        <w:t>patient’s</w:t>
      </w:r>
      <w:r>
        <w:t xml:space="preserve"> refusal should be </w:t>
      </w:r>
      <w:r w:rsidR="00F13DAE">
        <w:t>viewed as</w:t>
      </w:r>
      <w:r w:rsidR="00452E03">
        <w:t xml:space="preserve"> an exercise of autonomy</w:t>
      </w:r>
      <w:r>
        <w:t xml:space="preserve">. </w:t>
      </w:r>
      <w:r w:rsidR="00452E03">
        <w:t xml:space="preserve"> </w:t>
      </w:r>
      <w:r>
        <w:t>E</w:t>
      </w:r>
      <w:r w:rsidR="00452E03">
        <w:t xml:space="preserve">ven if the team perceives </w:t>
      </w:r>
      <w:r>
        <w:t xml:space="preserve">the informed refusal </w:t>
      </w:r>
      <w:r w:rsidR="00452E03">
        <w:t xml:space="preserve">to be </w:t>
      </w:r>
      <w:r>
        <w:t xml:space="preserve">unwise and </w:t>
      </w:r>
      <w:r w:rsidR="00452E03">
        <w:t>contrary to their recommendation</w:t>
      </w:r>
      <w:r>
        <w:t xml:space="preserve">, </w:t>
      </w:r>
      <w:r w:rsidR="00F13DAE">
        <w:t>the patient’s</w:t>
      </w:r>
      <w:r>
        <w:t xml:space="preserve"> decision</w:t>
      </w:r>
      <w:r w:rsidR="00452E03">
        <w:t xml:space="preserve"> should be accepted without </w:t>
      </w:r>
      <w:r w:rsidR="004927AA">
        <w:t xml:space="preserve">real or perceived </w:t>
      </w:r>
      <w:r w:rsidR="00452E03">
        <w:t>abandonment</w:t>
      </w:r>
      <w:r w:rsidR="004927AA">
        <w:t xml:space="preserve"> of the patient.</w:t>
      </w:r>
    </w:p>
    <w:p w14:paraId="0FD92B6D" w14:textId="77777777" w:rsidR="005F619F" w:rsidRDefault="006973DB" w:rsidP="006973DB">
      <w:pPr>
        <w:pStyle w:val="ListParagraph"/>
        <w:numPr>
          <w:ilvl w:val="0"/>
          <w:numId w:val="1"/>
        </w:numPr>
      </w:pPr>
      <w:r>
        <w:t xml:space="preserve">Clinicians should be </w:t>
      </w:r>
      <w:r w:rsidR="005F619F">
        <w:t>aware of how bias</w:t>
      </w:r>
      <w:r>
        <w:t>e</w:t>
      </w:r>
      <w:r w:rsidR="005F619F">
        <w:t xml:space="preserve">s </w:t>
      </w:r>
      <w:r w:rsidR="00F01968">
        <w:t xml:space="preserve">may </w:t>
      </w:r>
      <w:r w:rsidR="005F619F">
        <w:t xml:space="preserve">influence how </w:t>
      </w:r>
      <w:r>
        <w:t xml:space="preserve">they </w:t>
      </w:r>
      <w:r w:rsidR="005F619F">
        <w:t xml:space="preserve">appraise </w:t>
      </w:r>
      <w:r>
        <w:t xml:space="preserve">a patient’s </w:t>
      </w:r>
      <w:r w:rsidR="005F619F">
        <w:t xml:space="preserve">refusal </w:t>
      </w:r>
      <w:r>
        <w:t>D</w:t>
      </w:r>
      <w:r w:rsidRPr="006973DB">
        <w:t>emographic</w:t>
      </w:r>
      <w:r>
        <w:t xml:space="preserve"> factors, </w:t>
      </w:r>
      <w:r w:rsidRPr="006973DB">
        <w:t>s</w:t>
      </w:r>
      <w:r>
        <w:t>uch as</w:t>
      </w:r>
      <w:r w:rsidRPr="006973DB">
        <w:t xml:space="preserve"> race and gender</w:t>
      </w:r>
      <w:r>
        <w:t>, may</w:t>
      </w:r>
      <w:r w:rsidRPr="006973DB">
        <w:t xml:space="preserve"> </w:t>
      </w:r>
      <w:r>
        <w:t>affec</w:t>
      </w:r>
      <w:r w:rsidRPr="006973DB">
        <w:t xml:space="preserve">t the way that clinicians </w:t>
      </w:r>
      <w:r w:rsidR="00F01968">
        <w:t>assess</w:t>
      </w:r>
      <w:r w:rsidRPr="006973DB">
        <w:t xml:space="preserve"> the nature of the refusal</w:t>
      </w:r>
      <w:r w:rsidR="00F01968">
        <w:t>, and they should guard against implicit biases influencing their response to the refusal</w:t>
      </w:r>
      <w:r w:rsidRPr="006973DB">
        <w:t xml:space="preserve">.  </w:t>
      </w:r>
    </w:p>
    <w:p w14:paraId="1963B424" w14:textId="77777777" w:rsidR="003A452B" w:rsidRDefault="003A452B" w:rsidP="003A452B">
      <w:pPr>
        <w:pStyle w:val="ListParagraph"/>
        <w:numPr>
          <w:ilvl w:val="0"/>
          <w:numId w:val="1"/>
        </w:numPr>
      </w:pPr>
      <w:r>
        <w:t>The panel proposed that all refusals should be taken seriously and fully explored</w:t>
      </w:r>
      <w:r w:rsidR="00F01968">
        <w:t>,</w:t>
      </w:r>
      <w:r>
        <w:t xml:space="preserve"> even it means disrupting the schedule</w:t>
      </w:r>
      <w:r w:rsidR="00F01968">
        <w:t>,</w:t>
      </w:r>
      <w:r>
        <w:t xml:space="preserve"> to assure that the informed consent process is fully upheld.  </w:t>
      </w:r>
      <w:r w:rsidR="00757DAB">
        <w:t xml:space="preserve">This includes </w:t>
      </w:r>
      <w:r w:rsidR="004342D1">
        <w:t xml:space="preserve">creating a climate where any person on the clinical team who has knowledge of the patient’s concerns </w:t>
      </w:r>
      <w:r w:rsidR="00C4417F">
        <w:t>can raise their concerns without pushback or recrimination.</w:t>
      </w:r>
      <w:r w:rsidR="005F619F">
        <w:t xml:space="preserve">  All members of the healthcare team have an important role in </w:t>
      </w:r>
      <w:r w:rsidR="00551AF3">
        <w:t>assuring</w:t>
      </w:r>
      <w:r w:rsidR="005F619F">
        <w:t xml:space="preserve"> the integrity of the consent process. </w:t>
      </w:r>
    </w:p>
    <w:sectPr w:rsidR="003A452B" w:rsidSect="0005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6040B"/>
    <w:multiLevelType w:val="hybridMultilevel"/>
    <w:tmpl w:val="6D70C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CD"/>
    <w:rsid w:val="00050788"/>
    <w:rsid w:val="00091AE5"/>
    <w:rsid w:val="000E7048"/>
    <w:rsid w:val="0010399D"/>
    <w:rsid w:val="00114F3E"/>
    <w:rsid w:val="00133872"/>
    <w:rsid w:val="001E631B"/>
    <w:rsid w:val="002349AB"/>
    <w:rsid w:val="002A11D6"/>
    <w:rsid w:val="00315EA8"/>
    <w:rsid w:val="00396546"/>
    <w:rsid w:val="003A452B"/>
    <w:rsid w:val="003B2405"/>
    <w:rsid w:val="004342D1"/>
    <w:rsid w:val="00452E03"/>
    <w:rsid w:val="00456280"/>
    <w:rsid w:val="00465CDB"/>
    <w:rsid w:val="004733AA"/>
    <w:rsid w:val="004874EB"/>
    <w:rsid w:val="00490440"/>
    <w:rsid w:val="004927AA"/>
    <w:rsid w:val="00524F0A"/>
    <w:rsid w:val="00551AF3"/>
    <w:rsid w:val="005675B3"/>
    <w:rsid w:val="005966CE"/>
    <w:rsid w:val="005F619F"/>
    <w:rsid w:val="006239E2"/>
    <w:rsid w:val="00653852"/>
    <w:rsid w:val="00686F80"/>
    <w:rsid w:val="00694C44"/>
    <w:rsid w:val="006973DB"/>
    <w:rsid w:val="006C70F2"/>
    <w:rsid w:val="006D273A"/>
    <w:rsid w:val="00737DE7"/>
    <w:rsid w:val="00757DAB"/>
    <w:rsid w:val="007B5867"/>
    <w:rsid w:val="007D7848"/>
    <w:rsid w:val="007F4805"/>
    <w:rsid w:val="008456CD"/>
    <w:rsid w:val="008559D5"/>
    <w:rsid w:val="00883AF9"/>
    <w:rsid w:val="00894FC4"/>
    <w:rsid w:val="008D0AA0"/>
    <w:rsid w:val="008E377A"/>
    <w:rsid w:val="0091691B"/>
    <w:rsid w:val="0092523F"/>
    <w:rsid w:val="0094241F"/>
    <w:rsid w:val="009A0108"/>
    <w:rsid w:val="009E3D6F"/>
    <w:rsid w:val="00A20E0E"/>
    <w:rsid w:val="00A83261"/>
    <w:rsid w:val="00AB162E"/>
    <w:rsid w:val="00AD761E"/>
    <w:rsid w:val="00B11699"/>
    <w:rsid w:val="00B22F0A"/>
    <w:rsid w:val="00B404F3"/>
    <w:rsid w:val="00B66597"/>
    <w:rsid w:val="00B737C8"/>
    <w:rsid w:val="00C4417F"/>
    <w:rsid w:val="00C66535"/>
    <w:rsid w:val="00D43620"/>
    <w:rsid w:val="00D86708"/>
    <w:rsid w:val="00D922A8"/>
    <w:rsid w:val="00DC0127"/>
    <w:rsid w:val="00DC1737"/>
    <w:rsid w:val="00DC670E"/>
    <w:rsid w:val="00E03F08"/>
    <w:rsid w:val="00E40343"/>
    <w:rsid w:val="00F01968"/>
    <w:rsid w:val="00F13DAE"/>
    <w:rsid w:val="00F30537"/>
    <w:rsid w:val="00F95ECE"/>
    <w:rsid w:val="00FB1A5F"/>
    <w:rsid w:val="00FE4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32F"/>
  <w15:chartTrackingRefBased/>
  <w15:docId w15:val="{0F653C78-B2A5-B542-9F77-1E8D9805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E0E"/>
    <w:pPr>
      <w:ind w:left="720"/>
      <w:contextualSpacing/>
    </w:pPr>
  </w:style>
  <w:style w:type="paragraph" w:styleId="BalloonText">
    <w:name w:val="Balloon Text"/>
    <w:basedOn w:val="Normal"/>
    <w:link w:val="BalloonTextChar"/>
    <w:uiPriority w:val="99"/>
    <w:semiHidden/>
    <w:unhideWhenUsed/>
    <w:rsid w:val="00697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Cynda Rushton</dc:creator>
  <cp:keywords/>
  <dc:description/>
  <cp:lastModifiedBy>Microsoft Office User</cp:lastModifiedBy>
  <cp:revision>2</cp:revision>
  <dcterms:created xsi:type="dcterms:W3CDTF">2019-04-24T13:33:00Z</dcterms:created>
  <dcterms:modified xsi:type="dcterms:W3CDTF">2019-04-24T13:33:00Z</dcterms:modified>
</cp:coreProperties>
</file>