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31D2F" w:rsidRPr="00031D2F" w14:paraId="707A5691" w14:textId="77777777" w:rsidTr="00031D2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31D2F" w:rsidRPr="00031D2F" w14:paraId="1D7CF43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31D2F" w:rsidRPr="00031D2F" w14:paraId="2F631400" w14:textId="77777777" w:rsidTr="008F0810">
                    <w:trPr>
                      <w:trHeight w:val="4713"/>
                      <w:tblCellSpacing w:w="0" w:type="dxa"/>
                    </w:trPr>
                    <w:tc>
                      <w:tcPr>
                        <w:tcW w:w="6000" w:type="dxa"/>
                        <w:shd w:val="clear" w:color="auto" w:fill="FFFFFF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hideMark/>
                      </w:tcPr>
                      <w:p w14:paraId="194FC165" w14:textId="77777777" w:rsidR="00031D2F" w:rsidRPr="00031D2F" w:rsidRDefault="00031D2F" w:rsidP="00031D2F">
                        <w:pPr>
                          <w:spacing w:line="330" w:lineRule="atLeast"/>
                          <w:jc w:val="center"/>
                          <w:rPr>
                            <w:rFonts w:eastAsia="Times New Roman" w:cstheme="minorHAnsi"/>
                            <w:color w:val="000000" w:themeColor="text1"/>
                          </w:rPr>
                        </w:pPr>
                        <w:bookmarkStart w:id="0" w:name="_GoBack"/>
                        <w:bookmarkEnd w:id="0"/>
                        <w:r w:rsidRPr="00031D2F">
                          <w:rPr>
                            <w:rFonts w:eastAsia="Times New Roman" w:cstheme="minorHAnsi"/>
                            <w:b/>
                            <w:bCs/>
                            <w:color w:val="000000" w:themeColor="text1"/>
                            <w:bdr w:val="none" w:sz="0" w:space="0" w:color="auto" w:frame="1"/>
                          </w:rPr>
                          <w:t>The Many Faces of Trust During the Pandemic</w:t>
                        </w:r>
                      </w:p>
                      <w:p w14:paraId="68AED367" w14:textId="77777777" w:rsidR="002829AA" w:rsidRPr="002829AA" w:rsidRDefault="00031D2F" w:rsidP="002829AA">
                        <w:pPr>
                          <w:spacing w:line="330" w:lineRule="atLeast"/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bdr w:val="none" w:sz="0" w:space="0" w:color="auto" w:frame="1"/>
                          </w:rPr>
                        </w:pPr>
                        <w:r w:rsidRPr="00031D2F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br/>
                        </w:r>
                        <w:r w:rsidR="002829AA" w:rsidRPr="002829AA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bdr w:val="none" w:sz="0" w:space="0" w:color="auto" w:frame="1"/>
                          </w:rPr>
                          <w:t>Panelists</w:t>
                        </w:r>
                      </w:p>
                      <w:p w14:paraId="15F0F6A1" w14:textId="77777777" w:rsidR="002829AA" w:rsidRPr="002829AA" w:rsidRDefault="002829AA" w:rsidP="002829AA">
                        <w:pPr>
                          <w:spacing w:line="330" w:lineRule="atLeast"/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bdr w:val="none" w:sz="0" w:space="0" w:color="auto" w:frame="1"/>
                          </w:rPr>
                        </w:pPr>
                      </w:p>
                      <w:p w14:paraId="58323AA8" w14:textId="77777777" w:rsidR="002829AA" w:rsidRPr="002829AA" w:rsidRDefault="002829AA" w:rsidP="002829AA">
                        <w:pPr>
                          <w:spacing w:line="330" w:lineRule="atLeast"/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bdr w:val="none" w:sz="0" w:space="0" w:color="auto" w:frame="1"/>
                          </w:rPr>
                        </w:pPr>
                        <w:r w:rsidRPr="002829AA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bdr w:val="none" w:sz="0" w:space="0" w:color="auto" w:frame="1"/>
                          </w:rPr>
                          <w:t>Cynda Rushton, PhD, RN, FAAN (moderator)</w:t>
                        </w:r>
                      </w:p>
                      <w:p w14:paraId="1A011367" w14:textId="77777777" w:rsidR="002829AA" w:rsidRPr="002829AA" w:rsidRDefault="002829AA" w:rsidP="002829AA">
                        <w:pPr>
                          <w:spacing w:line="330" w:lineRule="atLeast"/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bdr w:val="none" w:sz="0" w:space="0" w:color="auto" w:frame="1"/>
                          </w:rPr>
                        </w:pPr>
                        <w:r w:rsidRPr="002829AA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bdr w:val="none" w:sz="0" w:space="0" w:color="auto" w:frame="1"/>
                          </w:rPr>
                          <w:t>Debra Mathews, PhD, MA</w:t>
                        </w:r>
                      </w:p>
                      <w:p w14:paraId="36521E20" w14:textId="77777777" w:rsidR="002829AA" w:rsidRPr="002829AA" w:rsidRDefault="002829AA" w:rsidP="002829AA">
                        <w:pPr>
                          <w:spacing w:line="330" w:lineRule="atLeast"/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bdr w:val="none" w:sz="0" w:space="0" w:color="auto" w:frame="1"/>
                          </w:rPr>
                        </w:pPr>
                        <w:r w:rsidRPr="002829AA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bdr w:val="none" w:sz="0" w:space="0" w:color="auto" w:frame="1"/>
                          </w:rPr>
                          <w:t>Ashly Nealon, BSN, RN</w:t>
                        </w:r>
                      </w:p>
                      <w:p w14:paraId="075A84F3" w14:textId="77777777" w:rsidR="002829AA" w:rsidRPr="002829AA" w:rsidRDefault="002829AA" w:rsidP="002829AA">
                        <w:pPr>
                          <w:spacing w:line="330" w:lineRule="atLeast"/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bdr w:val="none" w:sz="0" w:space="0" w:color="auto" w:frame="1"/>
                          </w:rPr>
                        </w:pPr>
                        <w:r w:rsidRPr="002829AA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bdr w:val="none" w:sz="0" w:space="0" w:color="auto" w:frame="1"/>
                          </w:rPr>
                          <w:t xml:space="preserve">Rev. John V.P.R. Ponnala, MA, BD, BCC </w:t>
                        </w:r>
                      </w:p>
                      <w:p w14:paraId="4A448325" w14:textId="5BBDEBD2" w:rsidR="001C0AE4" w:rsidRDefault="002829AA" w:rsidP="002829AA">
                        <w:pPr>
                          <w:spacing w:line="330" w:lineRule="atLeast"/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bdr w:val="none" w:sz="0" w:space="0" w:color="auto" w:frame="1"/>
                          </w:rPr>
                        </w:pPr>
                        <w:r w:rsidRPr="002829AA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bdr w:val="none" w:sz="0" w:space="0" w:color="auto" w:frame="1"/>
                          </w:rPr>
                          <w:t>Gloria Ramsey, JD, RN, FNAP, FAAN</w:t>
                        </w:r>
                      </w:p>
                      <w:p w14:paraId="200CAB49" w14:textId="77777777" w:rsidR="002829AA" w:rsidRDefault="002829AA" w:rsidP="002829AA">
                        <w:pPr>
                          <w:spacing w:line="330" w:lineRule="atLeast"/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</w:pPr>
                      </w:p>
                      <w:p w14:paraId="51DE4F57" w14:textId="2CBBF7D3" w:rsidR="000F158C" w:rsidRPr="00651A30" w:rsidRDefault="001C0AE4" w:rsidP="00031D2F">
                        <w:pPr>
                          <w:spacing w:line="330" w:lineRule="atLeast"/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</w:pP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The February Ethics for Lunch involved the case of a </w:t>
                        </w:r>
                        <w:r w:rsidR="00031D2F" w:rsidRPr="00031D2F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48-year-old African American woman </w:t>
                        </w: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who was admitted</w:t>
                        </w:r>
                        <w:r w:rsidR="00031D2F" w:rsidRPr="00031D2F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to the intensive care unit</w:t>
                        </w: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with COVID pneumonia</w:t>
                        </w:r>
                        <w:r w:rsidR="00031D2F" w:rsidRPr="00031D2F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. </w:t>
                        </w: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Her breathing worsened to the point of needing a ventilator. H</w:t>
                        </w:r>
                        <w:r w:rsidR="00031D2F" w:rsidRPr="00031D2F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er husband </w:t>
                        </w: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was her surrogate</w:t>
                        </w:r>
                        <w:r w:rsidR="00031D2F" w:rsidRPr="00031D2F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decision maker.</w:t>
                        </w: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He was approached about giving her investigational medications that might </w:t>
                        </w:r>
                        <w:r w:rsidR="00031D2F" w:rsidRPr="00031D2F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be beneficial to her</w:t>
                        </w: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, but</w:t>
                        </w:r>
                        <w:r w:rsidR="00031D2F" w:rsidRPr="00031D2F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he didn’t want to have her enrolled in any research trials.</w:t>
                        </w: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</w:t>
                        </w:r>
                        <w:r w:rsidR="00031D2F" w:rsidRPr="00031D2F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Over the next several weeks, she remained critically ill. </w:t>
                        </w: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Different members of t</w:t>
                        </w:r>
                        <w:r w:rsidR="00031D2F" w:rsidRPr="00031D2F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he staff updated </w:t>
                        </w: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her husband</w:t>
                        </w:r>
                        <w:r w:rsidR="00031D2F" w:rsidRPr="00031D2F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</w:t>
                        </w: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periodically</w:t>
                        </w:r>
                        <w:r w:rsidR="00031D2F" w:rsidRPr="00031D2F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</w:t>
                        </w: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and arranged </w:t>
                        </w:r>
                        <w:r w:rsidR="00031D2F" w:rsidRPr="00031D2F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Zoom video conference so he could see his wife. After weeks of not being able to successfully wean </w:t>
                        </w:r>
                        <w:r w:rsid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her </w:t>
                        </w:r>
                        <w:r w:rsidR="00031D2F" w:rsidRPr="00031D2F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from the ventilator, the medical team reached out to her husband to talk about placing a tracheostomy in hopes of weaning her ventilator support and progressing her care out of the ICU. Her husband was anxious and expressed feelings of distrust toward the care team</w:t>
                        </w:r>
                        <w:r w:rsidR="002829AA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, and he</w:t>
                        </w:r>
                        <w:r w:rsidR="00031D2F" w:rsidRPr="00031D2F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was unwilling to consent </w:t>
                        </w:r>
                        <w:r w:rsidR="002829AA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to</w:t>
                        </w:r>
                        <w:r w:rsidR="00031D2F" w:rsidRPr="00031D2F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the procedure. </w:t>
                        </w:r>
                        <w:r w:rsidR="002829AA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H</w:t>
                        </w:r>
                        <w:r w:rsidR="00031D2F" w:rsidRPr="00031D2F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is </w:t>
                        </w:r>
                        <w:r w:rsidR="002829AA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a</w:t>
                        </w:r>
                        <w:r w:rsidR="00031D2F" w:rsidRPr="00031D2F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unt had been hospitalized with COVID </w:t>
                        </w:r>
                        <w:r w:rsidR="002829AA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and </w:t>
                        </w:r>
                        <w:r w:rsidR="00031D2F" w:rsidRPr="00031D2F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had made a full recovery, and he had faith that his wife would do the same.</w:t>
                        </w:r>
                        <w:r w:rsidR="00031D2F" w:rsidRPr="00031D2F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br/>
                        </w:r>
                      </w:p>
                      <w:p w14:paraId="07381A2C" w14:textId="54584E02" w:rsidR="00031D2F" w:rsidRPr="00E119EE" w:rsidRDefault="000F158C" w:rsidP="00031D2F">
                        <w:pPr>
                          <w:spacing w:line="330" w:lineRule="atLeast"/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bdr w:val="none" w:sz="0" w:space="0" w:color="auto" w:frame="1"/>
                          </w:rPr>
                        </w:pPr>
                        <w:r w:rsidRPr="00E119EE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bdr w:val="none" w:sz="0" w:space="0" w:color="auto" w:frame="1"/>
                          </w:rPr>
                          <w:t>Summary</w:t>
                        </w:r>
                        <w:r w:rsidR="002829AA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bdr w:val="none" w:sz="0" w:space="0" w:color="auto" w:frame="1"/>
                          </w:rPr>
                          <w:t xml:space="preserve"> of Key Points</w:t>
                        </w:r>
                      </w:p>
                      <w:p w14:paraId="71825DB7" w14:textId="16365241" w:rsidR="000F158C" w:rsidRPr="00651A30" w:rsidRDefault="000F158C" w:rsidP="00031D2F">
                        <w:pPr>
                          <w:spacing w:line="330" w:lineRule="atLeast"/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</w:pPr>
                      </w:p>
                      <w:p w14:paraId="1B91C831" w14:textId="0DA0C3A8" w:rsidR="002F6844" w:rsidRPr="00CE03D8" w:rsidRDefault="002829AA" w:rsidP="00CE03D8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330" w:lineRule="atLeast"/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</w:pPr>
                        <w:r w:rsidRPr="00CE03D8">
                          <w:rPr>
                            <w:rFonts w:eastAsia="Times New Roman"/>
                          </w:rPr>
                          <w:t>The panel discussed w</w:t>
                        </w:r>
                        <w:r w:rsidR="00651A30" w:rsidRPr="00CE03D8">
                          <w:rPr>
                            <w:rFonts w:eastAsia="Times New Roman"/>
                          </w:rPr>
                          <w:t>ays that trust that has been broken</w:t>
                        </w:r>
                        <w:r w:rsidR="002F6844" w:rsidRPr="00CE03D8">
                          <w:rPr>
                            <w:rFonts w:eastAsia="Times New Roman"/>
                          </w:rPr>
                          <w:t xml:space="preserve"> during the pandemic</w:t>
                        </w:r>
                        <w:r w:rsidRPr="00CE03D8">
                          <w:rPr>
                            <w:rFonts w:eastAsia="Times New Roman"/>
                          </w:rPr>
                          <w:t>. A</w:t>
                        </w:r>
                        <w:r w:rsidR="002B1D87" w:rsidRP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s </w:t>
                        </w:r>
                        <w:r w:rsidRP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the </w:t>
                        </w:r>
                        <w:r w:rsidR="002B1D87" w:rsidRP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case illustrates, the d</w:t>
                        </w:r>
                        <w:r w:rsidR="00A07F96" w:rsidRP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isproportionate impact of COVID on African Americans and people of color brought into sharp focus historical transgressions </w:t>
                        </w:r>
                        <w:r w:rsidR="006F7567" w:rsidRP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related to structural and institutional racism (e.g. </w:t>
                        </w:r>
                        <w:r w:rsidR="00655728" w:rsidRP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Tuskegee</w:t>
                        </w:r>
                        <w:r w:rsidR="006F7567" w:rsidRP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, </w:t>
                        </w:r>
                        <w:r w:rsidR="002B1D87" w:rsidRP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Guatemala</w:t>
                        </w:r>
                        <w:r w:rsidR="006F7567" w:rsidRP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, Henrietta Lacks).</w:t>
                        </w:r>
                      </w:p>
                      <w:p w14:paraId="45D0FC35" w14:textId="1EF8EA54" w:rsidR="007F4A28" w:rsidRPr="00CE03D8" w:rsidRDefault="006F7567" w:rsidP="00CE03D8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330" w:lineRule="atLeast"/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</w:pPr>
                        <w:r w:rsidRP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Health inequities related to access to services</w:t>
                        </w:r>
                        <w:r w:rsidR="00655728" w:rsidRP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and treatment, protections, micro and macro aggressions</w:t>
                        </w:r>
                        <w:r w:rsidR="002829AA" w:rsidRP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, and examples of entrenched racism</w:t>
                        </w:r>
                        <w:r w:rsidR="00CE03D8" w:rsidRP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result in j</w:t>
                        </w:r>
                        <w:r w:rsidR="00655728" w:rsidRP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ustifiable </w:t>
                        </w:r>
                        <w:r w:rsidR="00CE03D8" w:rsidRP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mistrust. This then leads to</w:t>
                        </w:r>
                        <w:r w:rsid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</w:t>
                        </w:r>
                        <w:r w:rsidR="008839E6" w:rsidRP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question</w:t>
                        </w:r>
                        <w:r w:rsid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ing</w:t>
                        </w:r>
                        <w:r w:rsidR="008839E6" w:rsidRP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</w:t>
                        </w:r>
                        <w:r w:rsid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science, such as whether to </w:t>
                        </w:r>
                        <w:r w:rsidR="00CF0D12" w:rsidRP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participat</w:t>
                        </w:r>
                        <w:r w:rsid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e</w:t>
                        </w:r>
                        <w:r w:rsidR="00CF0D12" w:rsidRP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in research trials</w:t>
                        </w:r>
                        <w:r w:rsid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and whether vaccines are safe.</w:t>
                        </w:r>
                      </w:p>
                      <w:p w14:paraId="633C7B0E" w14:textId="72B5F461" w:rsidR="002838F9" w:rsidRPr="00CE03D8" w:rsidRDefault="00B35BA8" w:rsidP="00CE03D8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330" w:lineRule="atLeast"/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</w:pPr>
                        <w:r w:rsidRP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lastRenderedPageBreak/>
                          <w:t xml:space="preserve">The case calls into question the mixed views of what is </w:t>
                        </w:r>
                        <w:r w:rsidR="00F05BF6" w:rsidRP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trustworthy. Clinicians may have higher trust of evidence than patients; science alone is insufficient to gain </w:t>
                        </w:r>
                        <w:r w:rsid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the </w:t>
                        </w:r>
                        <w:r w:rsidR="00F05BF6" w:rsidRP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trust of </w:t>
                        </w:r>
                        <w:r w:rsid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the </w:t>
                        </w:r>
                        <w:r w:rsidR="00F05BF6" w:rsidRP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patient/family</w:t>
                        </w:r>
                        <w:r w:rsidR="00CE03D8" w:rsidRP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.</w:t>
                        </w:r>
                        <w:r w:rsid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</w:t>
                        </w:r>
                        <w:r w:rsidR="002838F9" w:rsidRP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The benefits may seem clear to clinicians but are not valued in the same way by the family</w:t>
                        </w:r>
                      </w:p>
                      <w:p w14:paraId="61480454" w14:textId="13A981D1" w:rsidR="0065550F" w:rsidRPr="00CE03D8" w:rsidRDefault="00CE03D8" w:rsidP="00CE03D8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330" w:lineRule="atLeast"/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</w:pPr>
                        <w:r w:rsidRP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Trust has also been compromised within</w:t>
                        </w:r>
                        <w:r w:rsidR="00C51340" w:rsidRP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the care team</w:t>
                        </w:r>
                        <w:r w:rsidRP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. </w:t>
                        </w:r>
                        <w:r w:rsidR="00C51340" w:rsidRP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Teamwork </w:t>
                        </w:r>
                        <w:r w:rsidRP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has been </w:t>
                        </w:r>
                        <w:r w:rsidR="00C51340" w:rsidRP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re-defined during the pandemic</w:t>
                        </w:r>
                        <w:r w:rsidR="00161A90" w:rsidRP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—trust </w:t>
                        </w: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is </w:t>
                        </w:r>
                        <w:r w:rsidR="00161A90" w:rsidRP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needed </w:t>
                        </w: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for team members to</w:t>
                        </w:r>
                        <w:r w:rsidR="00161A90" w:rsidRP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work together and honor and trust each other’s capability</w:t>
                        </w:r>
                        <w:r w:rsidRP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. </w:t>
                        </w:r>
                        <w:r w:rsidR="00161A90" w:rsidRP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</w:t>
                        </w: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T</w:t>
                        </w:r>
                        <w:r w:rsidR="00161A90" w:rsidRP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eam trust is translated to patients and families</w:t>
                        </w:r>
                        <w:r w:rsidR="00CF0D12" w:rsidRP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-</w:t>
                        </w: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-</w:t>
                        </w:r>
                        <w:r w:rsidR="00CF0D12" w:rsidRP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both positively and negatively</w:t>
                        </w:r>
                        <w:r w:rsidRP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. </w:t>
                        </w:r>
                        <w:r w:rsidR="003B420B" w:rsidRP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Frequent changes of </w:t>
                        </w: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the </w:t>
                        </w:r>
                        <w:r w:rsidR="003B420B" w:rsidRP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care team </w:t>
                        </w:r>
                        <w:r w:rsidR="00E119EE" w:rsidRP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create</w:t>
                        </w:r>
                        <w:r w:rsidR="003B420B" w:rsidRP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confusion and conflict among members</w:t>
                        </w:r>
                        <w:r w:rsidR="00CF0D12" w:rsidRP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, contribute to miscommunication</w:t>
                        </w: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,</w:t>
                        </w:r>
                        <w:r w:rsidR="00CF0D12" w:rsidRP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and </w:t>
                        </w: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can </w:t>
                        </w:r>
                        <w:r w:rsidR="00CF0D12" w:rsidRPr="00CE03D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erode trust</w:t>
                        </w: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.</w:t>
                        </w:r>
                      </w:p>
                      <w:p w14:paraId="2030EBB9" w14:textId="136B7B58" w:rsidR="00D80C22" w:rsidRPr="008F0810" w:rsidRDefault="00606AA3" w:rsidP="008F0810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330" w:lineRule="atLeast"/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</w:pPr>
                        <w:r w:rsidRPr="008F0810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Visitor policies</w:t>
                        </w:r>
                        <w:r w:rsidR="008F0810" w:rsidRPr="008F0810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during the pandemic have also had an impact on trust. </w:t>
                        </w:r>
                        <w:r w:rsidRPr="008F0810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This case illustrates the challenges of not having family members present to witness the condition of the patient</w:t>
                        </w:r>
                        <w:r w:rsidR="0065550F" w:rsidRPr="008F0810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, especially when it deteriorates</w:t>
                        </w:r>
                        <w:r w:rsidR="008F0810" w:rsidRPr="008F0810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. The team is u</w:t>
                        </w:r>
                        <w:r w:rsidR="00054812" w:rsidRPr="008F0810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nable to understand the narrative of the family</w:t>
                        </w:r>
                        <w:r w:rsidR="008F0810" w:rsidRPr="008F0810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without that direct contact, and the f</w:t>
                        </w:r>
                        <w:r w:rsidR="00D80C22" w:rsidRPr="008F0810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amily </w:t>
                        </w:r>
                        <w:r w:rsidR="008F0810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is </w:t>
                        </w:r>
                        <w:r w:rsidR="00D80C22" w:rsidRPr="008F0810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unable to grasp how critically ill the patient is</w:t>
                        </w:r>
                      </w:p>
                      <w:p w14:paraId="36A05653" w14:textId="34C3F055" w:rsidR="00054812" w:rsidRDefault="008F0810" w:rsidP="00F044F1">
                        <w:pPr>
                          <w:spacing w:line="330" w:lineRule="atLeast"/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</w:pP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6. The panelists discussed ways t</w:t>
                        </w:r>
                        <w:r w:rsidR="00E119EE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o rebuild trust</w:t>
                        </w: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, including:</w:t>
                        </w:r>
                      </w:p>
                      <w:p w14:paraId="0D24E2B6" w14:textId="79EEA069" w:rsidR="00E119EE" w:rsidRDefault="007E0A08" w:rsidP="00E119EE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330" w:lineRule="atLeast"/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</w:pP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Connections with families using technology</w:t>
                        </w:r>
                      </w:p>
                      <w:p w14:paraId="528CD4DA" w14:textId="15B9DC97" w:rsidR="00A07E9B" w:rsidRDefault="00A07E9B" w:rsidP="00A07E9B">
                        <w:pPr>
                          <w:pStyle w:val="ListParagraph"/>
                          <w:numPr>
                            <w:ilvl w:val="1"/>
                            <w:numId w:val="4"/>
                          </w:numPr>
                          <w:spacing w:line="330" w:lineRule="atLeast"/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</w:pP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Listening to what families know</w:t>
                        </w:r>
                        <w:r w:rsidR="00FC14B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instead of telling more information</w:t>
                        </w:r>
                      </w:p>
                      <w:p w14:paraId="16504355" w14:textId="1791EC8B" w:rsidR="00CB6E0F" w:rsidRDefault="00CB6E0F" w:rsidP="00A07E9B">
                        <w:pPr>
                          <w:pStyle w:val="ListParagraph"/>
                          <w:numPr>
                            <w:ilvl w:val="1"/>
                            <w:numId w:val="4"/>
                          </w:numPr>
                          <w:spacing w:line="330" w:lineRule="atLeast"/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</w:pP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Attempt</w:t>
                        </w:r>
                        <w:r w:rsidR="008F0810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ing</w:t>
                        </w: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to have all relevant family members present</w:t>
                        </w:r>
                      </w:p>
                      <w:p w14:paraId="6BC98C43" w14:textId="4EDB07B2" w:rsidR="007E0A08" w:rsidRDefault="00A07E9B" w:rsidP="0062658B">
                        <w:pPr>
                          <w:pStyle w:val="ListParagraph"/>
                          <w:numPr>
                            <w:ilvl w:val="1"/>
                            <w:numId w:val="4"/>
                          </w:numPr>
                          <w:spacing w:line="330" w:lineRule="atLeast"/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</w:pP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Coordinat</w:t>
                        </w:r>
                        <w:r w:rsidR="008F0810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ing</w:t>
                        </w: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communication with </w:t>
                        </w:r>
                        <w:r w:rsidR="008F0810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the </w:t>
                        </w: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family by designating a spokesperson to share information</w:t>
                        </w:r>
                      </w:p>
                      <w:p w14:paraId="4631FF0F" w14:textId="352B9BC6" w:rsidR="000D2F76" w:rsidRDefault="000D2F76" w:rsidP="0062658B">
                        <w:pPr>
                          <w:pStyle w:val="ListParagraph"/>
                          <w:numPr>
                            <w:ilvl w:val="1"/>
                            <w:numId w:val="4"/>
                          </w:numPr>
                          <w:spacing w:line="330" w:lineRule="atLeast"/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</w:pP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Intensify communication among team and with patients/families</w:t>
                        </w:r>
                      </w:p>
                      <w:p w14:paraId="6503B8BE" w14:textId="19BA5BF4" w:rsidR="00D80C22" w:rsidRDefault="00D80C22" w:rsidP="00D80C22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330" w:lineRule="atLeast"/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</w:pP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Transparency—when questions </w:t>
                        </w:r>
                        <w:r w:rsidR="002838F9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are </w:t>
                        </w: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asked</w:t>
                        </w:r>
                        <w:r w:rsidR="008F0810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,</w:t>
                        </w: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avoid</w:t>
                        </w:r>
                        <w:r w:rsidR="008F0810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ing</w:t>
                        </w: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defensiveness</w:t>
                        </w:r>
                      </w:p>
                      <w:p w14:paraId="37A7B68D" w14:textId="5E8845C6" w:rsidR="000D2F76" w:rsidRDefault="000D2F76" w:rsidP="00A07E9B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330" w:lineRule="atLeast"/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</w:pP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Manag</w:t>
                        </w:r>
                        <w:r w:rsidR="008F0810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ing</w:t>
                        </w: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expectations</w:t>
                        </w:r>
                        <w:r w:rsidR="00CA1911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; shar</w:t>
                        </w:r>
                        <w:r w:rsidR="008F0810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ing</w:t>
                        </w:r>
                        <w:r w:rsidR="00CA1911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what </w:t>
                        </w:r>
                        <w:r w:rsidR="008F0810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is</w:t>
                        </w:r>
                        <w:r w:rsidR="00CA1911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know</w:t>
                        </w:r>
                        <w:r w:rsidR="008F0810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n</w:t>
                        </w:r>
                        <w:r w:rsidR="00CA1911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and </w:t>
                        </w:r>
                        <w:r w:rsidR="008F0810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not</w:t>
                        </w:r>
                        <w:r w:rsidR="00CA1911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know</w:t>
                        </w:r>
                        <w:r w:rsidR="008F0810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n</w:t>
                        </w:r>
                      </w:p>
                      <w:p w14:paraId="2A9E2D38" w14:textId="6CFF36CE" w:rsidR="002838F9" w:rsidRDefault="008F0810" w:rsidP="00A07E9B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330" w:lineRule="atLeast"/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</w:pP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Exploring the patient's and family's</w:t>
                        </w:r>
                        <w:r w:rsidR="002838F9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faith tradition</w:t>
                        </w: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and</w:t>
                        </w:r>
                        <w:r w:rsidR="002838F9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involv</w:t>
                        </w: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ing</w:t>
                        </w:r>
                        <w:r w:rsidR="002838F9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chaplains</w:t>
                        </w:r>
                      </w:p>
                      <w:p w14:paraId="232C6A16" w14:textId="1CDE7914" w:rsidR="00A07E9B" w:rsidRDefault="00FC14B8" w:rsidP="00A07E9B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330" w:lineRule="atLeast"/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</w:pP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During hand-offs</w:t>
                        </w:r>
                        <w:r w:rsidR="008F0810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,</w:t>
                        </w: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shar</w:t>
                        </w:r>
                        <w:r w:rsidR="008F0810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ing</w:t>
                        </w: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patient</w:t>
                        </w:r>
                        <w:r w:rsidR="008F0810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-</w:t>
                        </w: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centered information about the patient as a person and what the family/surrogate is asking</w:t>
                        </w:r>
                        <w:r w:rsidR="008F0810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and</w:t>
                        </w: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how they are coping</w:t>
                        </w:r>
                      </w:p>
                      <w:p w14:paraId="6C885C57" w14:textId="1F15D3FA" w:rsidR="000D2F76" w:rsidRDefault="000D2F76" w:rsidP="00A07E9B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330" w:lineRule="atLeast"/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</w:pP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Managing assumptions—instead of </w:t>
                        </w:r>
                        <w:r w:rsidR="00CA1911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assuming t</w:t>
                        </w:r>
                        <w:r w:rsidR="008F0810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he patient/family doesn’t trust, </w:t>
                        </w:r>
                        <w:r w:rsidR="00CA1911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shift</w:t>
                        </w:r>
                        <w:r w:rsidR="008F0810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ing</w:t>
                        </w:r>
                        <w:r w:rsidR="00CA1911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to “</w:t>
                        </w:r>
                        <w:r w:rsidR="008F0810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W</w:t>
                        </w:r>
                        <w:r w:rsidR="00CA1911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hat can I do to restore trust in this moment</w:t>
                        </w:r>
                        <w:r w:rsidR="008F0810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?</w:t>
                        </w:r>
                        <w:r w:rsidR="00CA1911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”</w:t>
                        </w:r>
                      </w:p>
                      <w:p w14:paraId="1642C061" w14:textId="56B29390" w:rsidR="00CA1911" w:rsidRDefault="00CA1911" w:rsidP="00A07E9B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330" w:lineRule="atLeast"/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</w:pP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Flexibility and consistency</w:t>
                        </w:r>
                        <w:r w:rsidR="00D80C22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of communication and clinical team</w:t>
                        </w:r>
                        <w:r w:rsidR="00B35BA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members</w:t>
                        </w:r>
                      </w:p>
                      <w:p w14:paraId="1BD3EBEF" w14:textId="5F6D3296" w:rsidR="00B35BA8" w:rsidRDefault="008F0810" w:rsidP="008F081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330" w:lineRule="atLeast"/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</w:pP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H</w:t>
                        </w:r>
                        <w:r w:rsidR="00B35BA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umility to engage in </w:t>
                        </w: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an </w:t>
                        </w:r>
                        <w:r w:rsidR="00B35BA8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authentic way with people who do not trust </w:t>
                        </w: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in order to achieve shared decision making</w:t>
                        </w:r>
                      </w:p>
                      <w:p w14:paraId="45D9812B" w14:textId="11114997" w:rsidR="00335199" w:rsidRDefault="008F0810" w:rsidP="00335199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330" w:lineRule="atLeast"/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</w:pP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A</w:t>
                        </w:r>
                        <w:r w:rsidR="00CB6E0F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cknowledg</w:t>
                        </w: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ing clinician's</w:t>
                        </w:r>
                        <w:r w:rsidR="00CB6E0F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own suffering</w:t>
                        </w:r>
                        <w:r w:rsidR="00335199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and resilience</w:t>
                        </w:r>
                      </w:p>
                      <w:p w14:paraId="6AD6D3C6" w14:textId="2AC06BCC" w:rsidR="00F05BF6" w:rsidRDefault="00F05BF6" w:rsidP="00F05BF6">
                        <w:pPr>
                          <w:pStyle w:val="ListParagraph"/>
                          <w:numPr>
                            <w:ilvl w:val="1"/>
                            <w:numId w:val="4"/>
                          </w:numPr>
                          <w:spacing w:line="330" w:lineRule="atLeast"/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</w:pP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Clinicians are not alone in their struggle </w:t>
                        </w:r>
                      </w:p>
                      <w:p w14:paraId="51960C00" w14:textId="5F40F055" w:rsidR="00F05BF6" w:rsidRDefault="00F05BF6" w:rsidP="00F05BF6">
                        <w:pPr>
                          <w:pStyle w:val="ListParagraph"/>
                          <w:numPr>
                            <w:ilvl w:val="1"/>
                            <w:numId w:val="4"/>
                          </w:numPr>
                          <w:spacing w:line="330" w:lineRule="atLeast"/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</w:pP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Important to reach out to colleagues for support during cases that cause moral distress </w:t>
                        </w:r>
                      </w:p>
                      <w:p w14:paraId="03512655" w14:textId="4B67D11F" w:rsidR="00335199" w:rsidRDefault="00335199" w:rsidP="00335199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330" w:lineRule="atLeast"/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</w:pP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lastRenderedPageBreak/>
                          <w:t>Building trust takes time; striv</w:t>
                        </w:r>
                        <w:r w:rsidR="008F0810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ing</w:t>
                        </w: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to demonstrate trustworthy behaviors over and over again</w:t>
                        </w:r>
                      </w:p>
                      <w:p w14:paraId="0CB619D3" w14:textId="24C05F39" w:rsidR="0030031F" w:rsidRDefault="0030031F" w:rsidP="0030031F">
                        <w:pPr>
                          <w:pStyle w:val="ListParagraph"/>
                          <w:numPr>
                            <w:ilvl w:val="1"/>
                            <w:numId w:val="4"/>
                          </w:numPr>
                          <w:spacing w:line="330" w:lineRule="atLeast"/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</w:pP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Both individuals and </w:t>
                        </w:r>
                        <w:r w:rsidR="008F0810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an </w:t>
                        </w: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organization must be open to honest self-reflection and critique</w:t>
                        </w:r>
                      </w:p>
                      <w:p w14:paraId="6A70483A" w14:textId="5D606066" w:rsidR="0062658B" w:rsidRDefault="0062658B" w:rsidP="0062658B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330" w:lineRule="atLeast"/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</w:pP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For some people</w:t>
                        </w:r>
                        <w:r w:rsidR="008F0810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,</w:t>
                        </w: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race concordance is import</w:t>
                        </w:r>
                        <w:r w:rsidR="008F0810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a</w:t>
                        </w:r>
                        <w:r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nt</w:t>
                        </w:r>
                      </w:p>
                      <w:p w14:paraId="4D2D4AC2" w14:textId="77777777" w:rsidR="00031D2F" w:rsidRPr="00651A30" w:rsidRDefault="00031D2F" w:rsidP="00031D2F">
                        <w:pPr>
                          <w:spacing w:line="330" w:lineRule="atLeast"/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bdr w:val="none" w:sz="0" w:space="0" w:color="auto" w:frame="1"/>
                          </w:rPr>
                        </w:pPr>
                      </w:p>
                      <w:p w14:paraId="6A804154" w14:textId="0E50CF4C" w:rsidR="00031D2F" w:rsidRPr="00031D2F" w:rsidRDefault="00031D2F" w:rsidP="00031D2F">
                        <w:pPr>
                          <w:spacing w:line="330" w:lineRule="atLeast"/>
                          <w:rPr>
                            <w:rFonts w:eastAsia="Times New Roman" w:cstheme="minorHAnsi"/>
                          </w:rPr>
                        </w:pPr>
                        <w:r w:rsidRPr="00031D2F">
                          <w:rPr>
                            <w:rFonts w:eastAsia="Times New Roman" w:cstheme="minorHAnsi"/>
                            <w:b/>
                            <w:bCs/>
                            <w:color w:val="000000"/>
                            <w:bdr w:val="none" w:sz="0" w:space="0" w:color="auto" w:frame="1"/>
                          </w:rPr>
                          <w:t>References</w:t>
                        </w:r>
                      </w:p>
                      <w:p w14:paraId="55571E36" w14:textId="77777777" w:rsidR="00031D2F" w:rsidRPr="00031D2F" w:rsidRDefault="00031D2F" w:rsidP="00031D2F">
                        <w:pPr>
                          <w:numPr>
                            <w:ilvl w:val="0"/>
                            <w:numId w:val="2"/>
                          </w:numPr>
                          <w:spacing w:line="330" w:lineRule="atLeast"/>
                          <w:rPr>
                            <w:rFonts w:eastAsia="Times New Roman" w:cstheme="minorHAnsi"/>
                            <w:color w:val="000000"/>
                          </w:rPr>
                        </w:pPr>
                        <w:r w:rsidRPr="00031D2F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Snowden L, Graaf G. </w:t>
                        </w:r>
                        <w:hyperlink r:id="rId5" w:tgtFrame="_blank" w:tooltip="Original URL: https://jhu.us1.list-manage.com/track/click?u=0f543d0b018f081433751de11&amp;id=d35d7241a7&amp;e=30e14e2405. Click or tap if you trust this link." w:history="1">
                          <w:r w:rsidRPr="00031D2F">
                            <w:rPr>
                              <w:rFonts w:eastAsia="Times New Roman" w:cstheme="minorHAnsi"/>
                              <w:color w:val="800000"/>
                              <w:u w:val="single"/>
                              <w:bdr w:val="none" w:sz="0" w:space="0" w:color="auto" w:frame="1"/>
                            </w:rPr>
                            <w:t>COVID-19, Social Determinants Past, Present, and Future, and African Americans’ Health. Journal of Racial and Ethnic Health Disparities</w:t>
                          </w:r>
                        </w:hyperlink>
                        <w:r w:rsidRPr="00031D2F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.</w:t>
                        </w:r>
                      </w:p>
                      <w:p w14:paraId="0A2EF0A3" w14:textId="77777777" w:rsidR="00031D2F" w:rsidRPr="00031D2F" w:rsidRDefault="00031D2F" w:rsidP="00031D2F">
                        <w:pPr>
                          <w:numPr>
                            <w:ilvl w:val="0"/>
                            <w:numId w:val="2"/>
                          </w:numPr>
                          <w:spacing w:line="330" w:lineRule="atLeast"/>
                          <w:rPr>
                            <w:rFonts w:eastAsia="Times New Roman" w:cstheme="minorHAnsi"/>
                            <w:color w:val="000000"/>
                          </w:rPr>
                        </w:pPr>
                        <w:proofErr w:type="spellStart"/>
                        <w:r w:rsidRPr="00031D2F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Elbaum</w:t>
                        </w:r>
                        <w:proofErr w:type="spellEnd"/>
                        <w:r w:rsidRPr="00031D2F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A. </w:t>
                        </w:r>
                        <w:hyperlink r:id="rId6" w:tgtFrame="_blank" w:tooltip="Original URL: https://jhu.us1.list-manage.com/track/click?u=0f543d0b018f081433751de11&amp;id=8eb7b0c133&amp;e=30e14e2405. Click or tap if you trust this link." w:history="1">
                          <w:r w:rsidRPr="00031D2F">
                            <w:rPr>
                              <w:rFonts w:eastAsia="Times New Roman" w:cstheme="minorHAnsi"/>
                              <w:color w:val="800000"/>
                              <w:u w:val="single"/>
                              <w:bdr w:val="none" w:sz="0" w:space="0" w:color="auto" w:frame="1"/>
                            </w:rPr>
                            <w:t>Earning Patient Trust: More Than a Question of Signaling</w:t>
                          </w:r>
                        </w:hyperlink>
                        <w:r w:rsidRPr="00031D2F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. Hastings Center Report/Other Voices, January-February 2020.</w:t>
                        </w:r>
                      </w:p>
                      <w:p w14:paraId="45D249B9" w14:textId="77777777" w:rsidR="00031D2F" w:rsidRPr="00031D2F" w:rsidRDefault="00031D2F" w:rsidP="00031D2F">
                        <w:pPr>
                          <w:numPr>
                            <w:ilvl w:val="0"/>
                            <w:numId w:val="2"/>
                          </w:numPr>
                          <w:spacing w:line="330" w:lineRule="atLeast"/>
                          <w:rPr>
                            <w:rFonts w:eastAsia="Times New Roman" w:cstheme="minorHAnsi"/>
                            <w:color w:val="000000"/>
                          </w:rPr>
                        </w:pPr>
                        <w:proofErr w:type="spellStart"/>
                        <w:r w:rsidRPr="00031D2F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Mohottige</w:t>
                        </w:r>
                        <w:proofErr w:type="spellEnd"/>
                        <w:r w:rsidRPr="00031D2F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 xml:space="preserve"> D, Boulware E. </w:t>
                        </w:r>
                        <w:hyperlink r:id="rId7" w:tgtFrame="_blank" w:tooltip="Original URL: https://jhu.us1.list-manage.com/track/click?u=0f543d0b018f081433751de11&amp;id=5174e0ccbe&amp;e=30e14e2405. Click or tap if you trust this link." w:history="1">
                          <w:r w:rsidRPr="00031D2F">
                            <w:rPr>
                              <w:rFonts w:eastAsia="Times New Roman" w:cstheme="minorHAnsi"/>
                              <w:color w:val="800000"/>
                              <w:u w:val="single"/>
                              <w:bdr w:val="none" w:sz="0" w:space="0" w:color="auto" w:frame="1"/>
                            </w:rPr>
                            <w:t>Trust in American Medicine: A Call to Action for Health Care Professionals</w:t>
                          </w:r>
                        </w:hyperlink>
                        <w:r w:rsidRPr="00031D2F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.</w:t>
                        </w:r>
                        <w:r w:rsidRPr="00031D2F">
                          <w:rPr>
                            <w:rFonts w:eastAsia="Times New Roman" w:cstheme="minorHAnsi"/>
                            <w:i/>
                            <w:iCs/>
                            <w:color w:val="000000"/>
                            <w:bdr w:val="none" w:sz="0" w:space="0" w:color="auto" w:frame="1"/>
                          </w:rPr>
                          <w:t> </w:t>
                        </w:r>
                        <w:r w:rsidRPr="00031D2F">
                          <w:rPr>
                            <w:rFonts w:eastAsia="Times New Roman" w:cstheme="minorHAnsi"/>
                            <w:color w:val="000000"/>
                            <w:bdr w:val="none" w:sz="0" w:space="0" w:color="auto" w:frame="1"/>
                          </w:rPr>
                          <w:t>Hastings Center Report/Other Voices, January-February 2020</w:t>
                        </w:r>
                        <w:r w:rsidRPr="00031D2F">
                          <w:rPr>
                            <w:rFonts w:eastAsia="Times New Roman" w:cstheme="minorHAnsi"/>
                            <w:i/>
                            <w:iCs/>
                            <w:color w:val="000000"/>
                            <w:bdr w:val="none" w:sz="0" w:space="0" w:color="auto" w:frame="1"/>
                          </w:rPr>
                          <w:t> </w:t>
                        </w:r>
                      </w:p>
                    </w:tc>
                  </w:tr>
                  <w:tr w:rsidR="00CE03D8" w:rsidRPr="00031D2F" w14:paraId="78E8BB10" w14:textId="77777777">
                    <w:trPr>
                      <w:tblCellSpacing w:w="0" w:type="dxa"/>
                    </w:trPr>
                    <w:tc>
                      <w:tcPr>
                        <w:tcW w:w="6000" w:type="dxa"/>
                        <w:shd w:val="clear" w:color="auto" w:fill="FFFFFF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</w:tcPr>
                      <w:p w14:paraId="4C5BCD88" w14:textId="77777777" w:rsidR="00CE03D8" w:rsidRPr="00031D2F" w:rsidRDefault="00CE03D8" w:rsidP="008F0810">
                        <w:pPr>
                          <w:spacing w:line="330" w:lineRule="atLeast"/>
                          <w:rPr>
                            <w:rFonts w:eastAsia="Times New Roman" w:cstheme="minorHAnsi"/>
                            <w:b/>
                            <w:bCs/>
                            <w:color w:val="000000" w:themeColor="text1"/>
                            <w:bdr w:val="none" w:sz="0" w:space="0" w:color="auto" w:frame="1"/>
                          </w:rPr>
                        </w:pPr>
                      </w:p>
                    </w:tc>
                  </w:tr>
                  <w:tr w:rsidR="006F7567" w:rsidRPr="00031D2F" w14:paraId="2835C61B" w14:textId="77777777" w:rsidTr="008F0810">
                    <w:trPr>
                      <w:trHeight w:val="19"/>
                      <w:tblCellSpacing w:w="0" w:type="dxa"/>
                    </w:trPr>
                    <w:tc>
                      <w:tcPr>
                        <w:tcW w:w="6000" w:type="dxa"/>
                        <w:shd w:val="clear" w:color="auto" w:fill="FFFFFF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</w:tcPr>
                      <w:p w14:paraId="71857711" w14:textId="77777777" w:rsidR="006F7567" w:rsidRPr="00031D2F" w:rsidRDefault="006F7567" w:rsidP="00031D2F">
                        <w:pPr>
                          <w:spacing w:line="330" w:lineRule="atLeast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color w:val="000000" w:themeColor="text1"/>
                            <w:bdr w:val="none" w:sz="0" w:space="0" w:color="auto" w:frame="1"/>
                          </w:rPr>
                        </w:pPr>
                      </w:p>
                    </w:tc>
                  </w:tr>
                </w:tbl>
                <w:p w14:paraId="07031D05" w14:textId="77777777" w:rsidR="00031D2F" w:rsidRPr="00031D2F" w:rsidRDefault="00031D2F" w:rsidP="00031D2F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5DB128E2" w14:textId="77777777" w:rsidR="00031D2F" w:rsidRPr="00031D2F" w:rsidRDefault="00031D2F" w:rsidP="00031D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057EB2B" w14:textId="77777777" w:rsidR="000D3783" w:rsidRDefault="00F323CE"/>
    <w:sectPr w:rsidR="000D3783" w:rsidSect="00050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10D45"/>
    <w:multiLevelType w:val="multilevel"/>
    <w:tmpl w:val="99A28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B968A3"/>
    <w:multiLevelType w:val="hybridMultilevel"/>
    <w:tmpl w:val="FD3C6B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126719"/>
    <w:multiLevelType w:val="multilevel"/>
    <w:tmpl w:val="03D2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191468"/>
    <w:multiLevelType w:val="hybridMultilevel"/>
    <w:tmpl w:val="092A0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2F"/>
    <w:rsid w:val="00021C64"/>
    <w:rsid w:val="00031D2F"/>
    <w:rsid w:val="00034A56"/>
    <w:rsid w:val="00050788"/>
    <w:rsid w:val="00054812"/>
    <w:rsid w:val="00063983"/>
    <w:rsid w:val="00074DA9"/>
    <w:rsid w:val="00091AE5"/>
    <w:rsid w:val="000C3D04"/>
    <w:rsid w:val="000D2F76"/>
    <w:rsid w:val="000E7048"/>
    <w:rsid w:val="000F158C"/>
    <w:rsid w:val="00112009"/>
    <w:rsid w:val="00121540"/>
    <w:rsid w:val="0012669E"/>
    <w:rsid w:val="00132D51"/>
    <w:rsid w:val="00133872"/>
    <w:rsid w:val="00143E11"/>
    <w:rsid w:val="0015374D"/>
    <w:rsid w:val="001562CF"/>
    <w:rsid w:val="00161A90"/>
    <w:rsid w:val="001665A2"/>
    <w:rsid w:val="00166DFD"/>
    <w:rsid w:val="001C0AE4"/>
    <w:rsid w:val="001C62BF"/>
    <w:rsid w:val="00223D15"/>
    <w:rsid w:val="00243053"/>
    <w:rsid w:val="002817A3"/>
    <w:rsid w:val="002829AA"/>
    <w:rsid w:val="002838F9"/>
    <w:rsid w:val="00297156"/>
    <w:rsid w:val="002B1D87"/>
    <w:rsid w:val="002F6844"/>
    <w:rsid w:val="0030031F"/>
    <w:rsid w:val="00300805"/>
    <w:rsid w:val="00304AC2"/>
    <w:rsid w:val="0031011C"/>
    <w:rsid w:val="00335199"/>
    <w:rsid w:val="0034771D"/>
    <w:rsid w:val="00370D3A"/>
    <w:rsid w:val="00385856"/>
    <w:rsid w:val="00396546"/>
    <w:rsid w:val="003B420B"/>
    <w:rsid w:val="003F71F0"/>
    <w:rsid w:val="00417D8B"/>
    <w:rsid w:val="004263F3"/>
    <w:rsid w:val="00455D2F"/>
    <w:rsid w:val="00455E81"/>
    <w:rsid w:val="00456280"/>
    <w:rsid w:val="00476C56"/>
    <w:rsid w:val="004A78AD"/>
    <w:rsid w:val="004B20EA"/>
    <w:rsid w:val="004C6093"/>
    <w:rsid w:val="00505344"/>
    <w:rsid w:val="005D29F1"/>
    <w:rsid w:val="005D67F8"/>
    <w:rsid w:val="005E6A11"/>
    <w:rsid w:val="00600B8E"/>
    <w:rsid w:val="00606AA3"/>
    <w:rsid w:val="006239E2"/>
    <w:rsid w:val="0062658B"/>
    <w:rsid w:val="00633D6B"/>
    <w:rsid w:val="00651A30"/>
    <w:rsid w:val="0065550F"/>
    <w:rsid w:val="00655728"/>
    <w:rsid w:val="00655E7E"/>
    <w:rsid w:val="00694C44"/>
    <w:rsid w:val="006D2B87"/>
    <w:rsid w:val="006D306D"/>
    <w:rsid w:val="006F7567"/>
    <w:rsid w:val="00736997"/>
    <w:rsid w:val="00737DE7"/>
    <w:rsid w:val="00753883"/>
    <w:rsid w:val="00756A4F"/>
    <w:rsid w:val="007A3CE0"/>
    <w:rsid w:val="007B2988"/>
    <w:rsid w:val="007C61FF"/>
    <w:rsid w:val="007D5F44"/>
    <w:rsid w:val="007D7848"/>
    <w:rsid w:val="007E0A08"/>
    <w:rsid w:val="007E33D4"/>
    <w:rsid w:val="007E45E7"/>
    <w:rsid w:val="007F4A28"/>
    <w:rsid w:val="00800A0A"/>
    <w:rsid w:val="008044EF"/>
    <w:rsid w:val="00815A28"/>
    <w:rsid w:val="00840EEB"/>
    <w:rsid w:val="00860412"/>
    <w:rsid w:val="008839E6"/>
    <w:rsid w:val="0089456D"/>
    <w:rsid w:val="008D0AA0"/>
    <w:rsid w:val="008F0810"/>
    <w:rsid w:val="008F0F5C"/>
    <w:rsid w:val="008F4EF2"/>
    <w:rsid w:val="0091691B"/>
    <w:rsid w:val="00920318"/>
    <w:rsid w:val="0092523F"/>
    <w:rsid w:val="00937108"/>
    <w:rsid w:val="0094241F"/>
    <w:rsid w:val="0096208C"/>
    <w:rsid w:val="00977356"/>
    <w:rsid w:val="00993C00"/>
    <w:rsid w:val="009A0108"/>
    <w:rsid w:val="009B5F27"/>
    <w:rsid w:val="009D6806"/>
    <w:rsid w:val="009E4C52"/>
    <w:rsid w:val="009E7813"/>
    <w:rsid w:val="00A05DEF"/>
    <w:rsid w:val="00A07E9B"/>
    <w:rsid w:val="00A07F96"/>
    <w:rsid w:val="00A11340"/>
    <w:rsid w:val="00A15418"/>
    <w:rsid w:val="00A23211"/>
    <w:rsid w:val="00A30236"/>
    <w:rsid w:val="00A71D1E"/>
    <w:rsid w:val="00A83261"/>
    <w:rsid w:val="00A86720"/>
    <w:rsid w:val="00AB162E"/>
    <w:rsid w:val="00AB3040"/>
    <w:rsid w:val="00AD6736"/>
    <w:rsid w:val="00AD761E"/>
    <w:rsid w:val="00AE7F52"/>
    <w:rsid w:val="00B11699"/>
    <w:rsid w:val="00B22F0A"/>
    <w:rsid w:val="00B3473F"/>
    <w:rsid w:val="00B35BA8"/>
    <w:rsid w:val="00B404F3"/>
    <w:rsid w:val="00B411FE"/>
    <w:rsid w:val="00B6489D"/>
    <w:rsid w:val="00B66597"/>
    <w:rsid w:val="00B669E1"/>
    <w:rsid w:val="00B824F8"/>
    <w:rsid w:val="00BC5639"/>
    <w:rsid w:val="00C34BBA"/>
    <w:rsid w:val="00C51340"/>
    <w:rsid w:val="00C66535"/>
    <w:rsid w:val="00C84D2E"/>
    <w:rsid w:val="00C923CD"/>
    <w:rsid w:val="00CA1911"/>
    <w:rsid w:val="00CB6E0F"/>
    <w:rsid w:val="00CD45C5"/>
    <w:rsid w:val="00CE03D8"/>
    <w:rsid w:val="00CE0D93"/>
    <w:rsid w:val="00CF0D12"/>
    <w:rsid w:val="00D43620"/>
    <w:rsid w:val="00D47015"/>
    <w:rsid w:val="00D80C22"/>
    <w:rsid w:val="00D82C7A"/>
    <w:rsid w:val="00D86708"/>
    <w:rsid w:val="00D87B7E"/>
    <w:rsid w:val="00D922A8"/>
    <w:rsid w:val="00D937D4"/>
    <w:rsid w:val="00DA2E4C"/>
    <w:rsid w:val="00DB4039"/>
    <w:rsid w:val="00DC0127"/>
    <w:rsid w:val="00DC1737"/>
    <w:rsid w:val="00DE3296"/>
    <w:rsid w:val="00E02B22"/>
    <w:rsid w:val="00E03F08"/>
    <w:rsid w:val="00E119EE"/>
    <w:rsid w:val="00E40343"/>
    <w:rsid w:val="00E55DE2"/>
    <w:rsid w:val="00E65326"/>
    <w:rsid w:val="00E71A89"/>
    <w:rsid w:val="00E913C9"/>
    <w:rsid w:val="00EB267F"/>
    <w:rsid w:val="00EB4EF1"/>
    <w:rsid w:val="00ED06CF"/>
    <w:rsid w:val="00EF64D8"/>
    <w:rsid w:val="00F012AF"/>
    <w:rsid w:val="00F041A9"/>
    <w:rsid w:val="00F044F1"/>
    <w:rsid w:val="00F05BF6"/>
    <w:rsid w:val="00F323CE"/>
    <w:rsid w:val="00F367A9"/>
    <w:rsid w:val="00FA55C2"/>
    <w:rsid w:val="00FA713A"/>
    <w:rsid w:val="00FC099B"/>
    <w:rsid w:val="00FC14B8"/>
    <w:rsid w:val="00FC233D"/>
    <w:rsid w:val="00FC6EA4"/>
    <w:rsid w:val="00FD0A58"/>
    <w:rsid w:val="00FD77D8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F1D63"/>
  <w15:chartTrackingRefBased/>
  <w15:docId w15:val="{E5607AC3-56BB-F241-A195-A9161161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31D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31D2F"/>
    <w:rPr>
      <w:b/>
      <w:bCs/>
    </w:rPr>
  </w:style>
  <w:style w:type="character" w:customStyle="1" w:styleId="xsubtitle1">
    <w:name w:val="x_subtitle1"/>
    <w:basedOn w:val="DefaultParagraphFont"/>
    <w:rsid w:val="00031D2F"/>
  </w:style>
  <w:style w:type="character" w:styleId="Hyperlink">
    <w:name w:val="Hyperlink"/>
    <w:basedOn w:val="DefaultParagraphFont"/>
    <w:uiPriority w:val="99"/>
    <w:semiHidden/>
    <w:unhideWhenUsed/>
    <w:rsid w:val="00031D2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31D2F"/>
    <w:rPr>
      <w:i/>
      <w:iCs/>
    </w:rPr>
  </w:style>
  <w:style w:type="paragraph" w:styleId="ListParagraph">
    <w:name w:val="List Paragraph"/>
    <w:basedOn w:val="Normal"/>
    <w:uiPriority w:val="34"/>
    <w:qFormat/>
    <w:rsid w:val="002F6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8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8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02.safelinks.protection.outlook.com/?url=https%3A%2F%2Fjhu.us1.list-manage.com%2Ftrack%2Fclick%3Fu%3D0f543d0b018f081433751de11%26id%3D5174e0ccbe%26e%3D30e14e2405&amp;data=04%7C01%7Ccrushto1%40jhu.edu%7Cfef7d3fd483f42e7855608d8cf7378b1%7C9fa4f438b1e6473b803f86f8aedf0dec%7C0%7C0%7C637487442138238406%7CUnknown%7CTWFpbGZsb3d8eyJWIjoiMC4wLjAwMDAiLCJQIjoiV2luMzIiLCJBTiI6Ik1haWwiLCJXVCI6Mn0%3D%7C1000&amp;sdata=8EmMD9ZkowElwCco%2FExVFHSJTnij68Ki8W5%2BNQpd8y0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02.safelinks.protection.outlook.com/?url=https%3A%2F%2Fjhu.us1.list-manage.com%2Ftrack%2Fclick%3Fu%3D0f543d0b018f081433751de11%26id%3D8eb7b0c133%26e%3D30e14e2405&amp;data=04%7C01%7Ccrushto1%40jhu.edu%7Cfef7d3fd483f42e7855608d8cf7378b1%7C9fa4f438b1e6473b803f86f8aedf0dec%7C0%7C0%7C637487442138228452%7CUnknown%7CTWFpbGZsb3d8eyJWIjoiMC4wLjAwMDAiLCJQIjoiV2luMzIiLCJBTiI6Ik1haWwiLCJXVCI6Mn0%3D%7C1000&amp;sdata=HTg7qDn4bjXnmvL%2FWOWbzYiCAvVHBE%2Fvs9ODzJMgvU4%3D&amp;reserved=0" TargetMode="External"/><Relationship Id="rId5" Type="http://schemas.openxmlformats.org/officeDocument/2006/relationships/hyperlink" Target="https://nam02.safelinks.protection.outlook.com/?url=https%3A%2F%2Fjhu.us1.list-manage.com%2Ftrack%2Fclick%3Fu%3D0f543d0b018f081433751de11%26id%3Dd35d7241a7%26e%3D30e14e2405&amp;data=04%7C01%7Ccrushto1%40jhu.edu%7Cfef7d3fd483f42e7855608d8cf7378b1%7C9fa4f438b1e6473b803f86f8aedf0dec%7C0%7C0%7C637487442138228452%7CUnknown%7CTWFpbGZsb3d8eyJWIjoiMC4wLjAwMDAiLCJQIjoiV2luMzIiLCJBTiI6Ik1haWwiLCJXVCI6Mn0%3D%7C1000&amp;sdata=nDh%2FDg2YjTw7hnGgOJCZGmWvdf%2BnU20xcCQ6MwZ%2BDSY%3D&amp;reserved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1035</Words>
  <Characters>5904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Cynda Rushton</dc:creator>
  <cp:keywords/>
  <dc:description/>
  <cp:lastModifiedBy>Suzanne Knizner</cp:lastModifiedBy>
  <cp:revision>2</cp:revision>
  <dcterms:created xsi:type="dcterms:W3CDTF">2021-03-10T11:00:00Z</dcterms:created>
  <dcterms:modified xsi:type="dcterms:W3CDTF">2021-03-10T11:00:00Z</dcterms:modified>
</cp:coreProperties>
</file>