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1ADAD" w14:textId="2996DCD7" w:rsidR="003C5D12" w:rsidRPr="00634A55" w:rsidRDefault="00234298">
      <w:pPr>
        <w:rPr>
          <w:rFonts w:ascii="Cambria" w:hAnsi="Cambria"/>
          <w:sz w:val="24"/>
          <w:szCs w:val="24"/>
        </w:rPr>
      </w:pP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The April Ethics for Lunch, the Annual Shallenberger Lecture, was titled </w:t>
      </w:r>
      <w:r w:rsidR="00DF7C58">
        <w:rPr>
          <w:rFonts w:ascii="Cambria" w:hAnsi="Cambria"/>
          <w:sz w:val="24"/>
          <w:szCs w:val="24"/>
        </w:rPr>
        <w:t>“On the Outrage of Black Mothers: H</w:t>
      </w:r>
      <w:r>
        <w:rPr>
          <w:rFonts w:ascii="Cambria" w:hAnsi="Cambria"/>
          <w:sz w:val="24"/>
          <w:szCs w:val="24"/>
        </w:rPr>
        <w:t>ealing the Past in the Present.”</w:t>
      </w:r>
      <w:r w:rsidR="00DF7C58">
        <w:rPr>
          <w:rFonts w:ascii="Cambria" w:hAnsi="Cambria"/>
          <w:sz w:val="24"/>
          <w:szCs w:val="24"/>
        </w:rPr>
        <w:t xml:space="preserve"> </w:t>
      </w:r>
      <w:r w:rsidR="003C5D12" w:rsidRPr="00634A55">
        <w:rPr>
          <w:rFonts w:ascii="Cambria" w:hAnsi="Cambria"/>
          <w:sz w:val="24"/>
          <w:szCs w:val="24"/>
        </w:rPr>
        <w:t>The goals of the presentation were to</w:t>
      </w:r>
      <w:r w:rsidR="007657FD" w:rsidRPr="00634A55">
        <w:rPr>
          <w:rFonts w:ascii="Cambria" w:hAnsi="Cambria"/>
          <w:sz w:val="24"/>
          <w:szCs w:val="24"/>
        </w:rPr>
        <w:t xml:space="preserve"> employ a Medical Humanities perspective to</w:t>
      </w:r>
      <w:r w:rsidR="003C5D12" w:rsidRPr="00634A55">
        <w:rPr>
          <w:rFonts w:ascii="Cambria" w:hAnsi="Cambria"/>
          <w:sz w:val="24"/>
          <w:szCs w:val="24"/>
        </w:rPr>
        <w:t xml:space="preserve"> introduce to the </w:t>
      </w:r>
      <w:r>
        <w:rPr>
          <w:rFonts w:ascii="Cambria" w:hAnsi="Cambria"/>
          <w:sz w:val="24"/>
          <w:szCs w:val="24"/>
        </w:rPr>
        <w:t xml:space="preserve">Johns </w:t>
      </w:r>
      <w:r w:rsidR="003C5D12" w:rsidRPr="00634A55">
        <w:rPr>
          <w:rFonts w:ascii="Cambria" w:hAnsi="Cambria"/>
          <w:sz w:val="24"/>
          <w:szCs w:val="24"/>
        </w:rPr>
        <w:t xml:space="preserve">Hopkins Hospital </w:t>
      </w:r>
      <w:r>
        <w:rPr>
          <w:rFonts w:ascii="Cambria" w:hAnsi="Cambria"/>
          <w:sz w:val="24"/>
          <w:szCs w:val="24"/>
        </w:rPr>
        <w:t xml:space="preserve">community to </w:t>
      </w:r>
      <w:r w:rsidR="003C5D12" w:rsidRPr="00634A55">
        <w:rPr>
          <w:rFonts w:ascii="Cambria" w:hAnsi="Cambria"/>
          <w:sz w:val="24"/>
          <w:szCs w:val="24"/>
        </w:rPr>
        <w:t>the importance of archetypal patterns in literature and culture that silence and therefore harm minoritized communities</w:t>
      </w:r>
      <w:r>
        <w:rPr>
          <w:rFonts w:ascii="Cambria" w:hAnsi="Cambria"/>
          <w:sz w:val="24"/>
          <w:szCs w:val="24"/>
        </w:rPr>
        <w:t xml:space="preserve">. </w:t>
      </w:r>
      <w:r w:rsidR="003C5D12" w:rsidRPr="00634A5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U</w:t>
      </w:r>
      <w:r w:rsidR="003C5D12" w:rsidRPr="00634A55">
        <w:rPr>
          <w:rFonts w:ascii="Cambria" w:hAnsi="Cambria"/>
          <w:sz w:val="24"/>
          <w:szCs w:val="24"/>
        </w:rPr>
        <w:t xml:space="preserve">nder the leadership of the speaker, </w:t>
      </w:r>
      <w:r>
        <w:rPr>
          <w:rFonts w:ascii="Cambria" w:hAnsi="Cambria"/>
          <w:sz w:val="24"/>
          <w:szCs w:val="24"/>
        </w:rPr>
        <w:t>Joanne M. Braxton, audience members were posed questions, which if answered, c</w:t>
      </w:r>
      <w:r w:rsidR="003C5D12" w:rsidRPr="00634A55">
        <w:rPr>
          <w:rFonts w:ascii="Cambria" w:hAnsi="Cambria"/>
          <w:sz w:val="24"/>
          <w:szCs w:val="24"/>
        </w:rPr>
        <w:t>ould improve capacities of those in power to see and hear that which is routinely disregarded, dismissed or misunderstood.</w:t>
      </w:r>
      <w:r w:rsidR="007C2FBA" w:rsidRPr="00634A55">
        <w:rPr>
          <w:rFonts w:ascii="Cambria" w:hAnsi="Cambria"/>
          <w:sz w:val="24"/>
          <w:szCs w:val="24"/>
        </w:rPr>
        <w:t xml:space="preserve"> </w:t>
      </w:r>
      <w:r w:rsidR="00C01D0E" w:rsidRPr="00634A55">
        <w:rPr>
          <w:rFonts w:ascii="Cambria" w:hAnsi="Cambria"/>
          <w:sz w:val="24"/>
          <w:szCs w:val="24"/>
        </w:rPr>
        <w:t xml:space="preserve">Dr. Braxton also presented the Braxton Institute for Sustainability, Resiliency and Joy model for collective healing from collective trauma through collective deliberation and aesthetic reflection, as found on the Braxton Institute </w:t>
      </w:r>
      <w:hyperlink r:id="rId4" w:history="1">
        <w:r w:rsidR="00C01D0E" w:rsidRPr="00634A55">
          <w:rPr>
            <w:rStyle w:val="Hyperlink"/>
            <w:rFonts w:ascii="Cambria" w:hAnsi="Cambria"/>
            <w:sz w:val="24"/>
            <w:szCs w:val="24"/>
          </w:rPr>
          <w:t>website.</w:t>
        </w:r>
      </w:hyperlink>
    </w:p>
    <w:p w14:paraId="70B0BB3C" w14:textId="77777777" w:rsidR="00634A55" w:rsidRDefault="00634A55">
      <w:pPr>
        <w:rPr>
          <w:rFonts w:ascii="Cambria" w:hAnsi="Cambria"/>
          <w:sz w:val="24"/>
          <w:szCs w:val="24"/>
        </w:rPr>
      </w:pPr>
    </w:p>
    <w:p w14:paraId="0D56FD9F" w14:textId="77777777" w:rsidR="00C25DF1" w:rsidRPr="00D869A0" w:rsidRDefault="00C25DF1" w:rsidP="00C25DF1">
      <w:pPr>
        <w:rPr>
          <w:rFonts w:ascii="Cambria" w:hAnsi="Cambria"/>
          <w:sz w:val="32"/>
          <w:szCs w:val="32"/>
        </w:rPr>
      </w:pPr>
      <w:r w:rsidRPr="00D869A0">
        <w:rPr>
          <w:rFonts w:ascii="Cambria" w:hAnsi="Cambria"/>
          <w:sz w:val="32"/>
          <w:szCs w:val="32"/>
        </w:rPr>
        <w:t>Selected Works by Joanne M. Braxton:</w:t>
      </w:r>
    </w:p>
    <w:p w14:paraId="5D4C8464" w14:textId="77777777" w:rsidR="00C25DF1" w:rsidRPr="00D869A0" w:rsidRDefault="006C3245" w:rsidP="00C25DF1">
      <w:pPr>
        <w:spacing w:after="0" w:line="276" w:lineRule="auto"/>
        <w:rPr>
          <w:rFonts w:ascii="Cambria" w:hAnsi="Cambria"/>
          <w:i/>
          <w:iCs/>
        </w:rPr>
      </w:pPr>
      <w:hyperlink r:id="rId5" w:history="1">
        <w:r w:rsidR="00C25DF1" w:rsidRPr="00D869A0">
          <w:rPr>
            <w:rStyle w:val="Hyperlink"/>
            <w:rFonts w:ascii="Cambria" w:hAnsi="Cambria"/>
          </w:rPr>
          <w:t xml:space="preserve">“Covid 19 Unevenly “Culls” Humanity,” </w:t>
        </w:r>
        <w:r w:rsidR="00C25DF1" w:rsidRPr="00D869A0">
          <w:rPr>
            <w:rStyle w:val="Hyperlink"/>
            <w:rFonts w:ascii="Cambria" w:hAnsi="Cambria"/>
            <w:i/>
            <w:iCs/>
          </w:rPr>
          <w:t>Sojourners,</w:t>
        </w:r>
        <w:r w:rsidR="00C25DF1" w:rsidRPr="00D869A0">
          <w:rPr>
            <w:rStyle w:val="Hyperlink"/>
            <w:rFonts w:ascii="Cambria" w:hAnsi="Cambria"/>
          </w:rPr>
          <w:t xml:space="preserve"> June 2, 2020.</w:t>
        </w:r>
      </w:hyperlink>
      <w:r w:rsidR="00C25DF1" w:rsidRPr="00D869A0">
        <w:rPr>
          <w:rFonts w:ascii="Cambria" w:hAnsi="Cambria"/>
        </w:rPr>
        <w:t xml:space="preserve"> </w:t>
      </w:r>
    </w:p>
    <w:p w14:paraId="5B7FE30B" w14:textId="77777777" w:rsidR="00C25DF1" w:rsidRPr="00D869A0" w:rsidRDefault="00C25DF1" w:rsidP="00C25DF1">
      <w:pPr>
        <w:spacing w:after="0" w:line="276" w:lineRule="auto"/>
        <w:rPr>
          <w:rFonts w:ascii="Cambria" w:hAnsi="Cambria"/>
          <w:i/>
          <w:iCs/>
        </w:rPr>
      </w:pPr>
    </w:p>
    <w:p w14:paraId="5435FA5B" w14:textId="77777777" w:rsidR="00C25DF1" w:rsidRPr="00D869A0" w:rsidRDefault="006C3245" w:rsidP="00C25DF1">
      <w:pPr>
        <w:spacing w:after="0" w:line="276" w:lineRule="auto"/>
        <w:rPr>
          <w:rFonts w:ascii="Cambria" w:hAnsi="Cambria"/>
        </w:rPr>
      </w:pPr>
      <w:hyperlink r:id="rId6" w:history="1">
        <w:r w:rsidR="00C25DF1" w:rsidRPr="00D869A0">
          <w:rPr>
            <w:rStyle w:val="Hyperlink"/>
            <w:rFonts w:ascii="Cambria" w:hAnsi="Cambria"/>
          </w:rPr>
          <w:t>“The Freedom Struggle,”</w:t>
        </w:r>
      </w:hyperlink>
      <w:r w:rsidR="00C25DF1" w:rsidRPr="00D869A0">
        <w:rPr>
          <w:rFonts w:ascii="Cambria" w:hAnsi="Cambria"/>
        </w:rPr>
        <w:t xml:space="preserve"> in </w:t>
      </w:r>
      <w:r w:rsidR="00C25DF1" w:rsidRPr="00D869A0">
        <w:rPr>
          <w:rFonts w:ascii="Cambria" w:hAnsi="Cambria"/>
          <w:i/>
          <w:iCs/>
        </w:rPr>
        <w:t>Lift Every Voice: Why African American Poetry Matters</w:t>
      </w:r>
      <w:r w:rsidR="00C25DF1" w:rsidRPr="00D869A0">
        <w:rPr>
          <w:rFonts w:ascii="Cambria" w:hAnsi="Cambria"/>
        </w:rPr>
        <w:t>, Kevin Young, ed. Library of America (New York, 2020), 8-13.</w:t>
      </w:r>
    </w:p>
    <w:p w14:paraId="35D25B56" w14:textId="77777777" w:rsidR="00C25DF1" w:rsidRPr="00D869A0" w:rsidRDefault="00C25DF1" w:rsidP="00C25DF1">
      <w:pPr>
        <w:spacing w:after="0" w:line="276" w:lineRule="auto"/>
        <w:rPr>
          <w:rFonts w:ascii="Cambria" w:hAnsi="Cambria"/>
        </w:rPr>
      </w:pPr>
    </w:p>
    <w:p w14:paraId="6206C9C2" w14:textId="77777777" w:rsidR="00C25DF1" w:rsidRPr="00D869A0" w:rsidRDefault="00C25DF1" w:rsidP="00C25DF1">
      <w:pPr>
        <w:spacing w:after="0" w:line="240" w:lineRule="auto"/>
        <w:rPr>
          <w:rFonts w:ascii="Cambria" w:hAnsi="Cambria"/>
        </w:rPr>
      </w:pPr>
      <w:r w:rsidRPr="00D869A0">
        <w:rPr>
          <w:rFonts w:ascii="Cambria" w:eastAsia="Times New Roman" w:hAnsi="Cambria" w:cs="Times New Roman"/>
        </w:rPr>
        <w:t xml:space="preserve">“Harriet Jacobs' ‘Incidents in the Life of a Slave Girl’: The Re-Definition of the Slave Narrative Genre,” </w:t>
      </w:r>
      <w:r w:rsidRPr="00C25DF1">
        <w:rPr>
          <w:rFonts w:ascii="Cambria" w:eastAsia="Times New Roman" w:hAnsi="Cambria" w:cs="Times New Roman"/>
          <w:i/>
          <w:iCs/>
        </w:rPr>
        <w:t>The Massachusetts Review</w:t>
      </w:r>
      <w:r w:rsidRPr="00D869A0">
        <w:rPr>
          <w:rFonts w:ascii="Cambria" w:eastAsia="Times New Roman" w:hAnsi="Cambria" w:cs="Times New Roman"/>
        </w:rPr>
        <w:t xml:space="preserve">, </w:t>
      </w:r>
      <w:hyperlink r:id="rId7" w:history="1">
        <w:r w:rsidRPr="00D869A0">
          <w:rPr>
            <w:rStyle w:val="Hyperlink"/>
            <w:rFonts w:ascii="Cambria" w:hAnsi="Cambria"/>
          </w:rPr>
          <w:t>Vol. 27, No. 2 (Summer, 1986)</w:t>
        </w:r>
      </w:hyperlink>
      <w:r w:rsidRPr="00D869A0">
        <w:rPr>
          <w:rFonts w:ascii="Cambria" w:hAnsi="Cambria"/>
        </w:rPr>
        <w:t>, pp. 379-387.</w:t>
      </w:r>
    </w:p>
    <w:p w14:paraId="3976F750" w14:textId="77777777" w:rsidR="00C25DF1" w:rsidRPr="00D869A0" w:rsidRDefault="00C25DF1" w:rsidP="00C25DF1">
      <w:pPr>
        <w:spacing w:after="0" w:line="240" w:lineRule="auto"/>
        <w:rPr>
          <w:rFonts w:ascii="Cambria" w:hAnsi="Cambria"/>
        </w:rPr>
      </w:pPr>
    </w:p>
    <w:p w14:paraId="23FA77C1" w14:textId="77777777" w:rsidR="00C25DF1" w:rsidRPr="00D869A0" w:rsidRDefault="00C25DF1" w:rsidP="00C25DF1">
      <w:pPr>
        <w:spacing w:line="240" w:lineRule="auto"/>
        <w:contextualSpacing/>
        <w:rPr>
          <w:rFonts w:ascii="Cambria" w:hAnsi="Cambria" w:cs="Times New Roman"/>
          <w:bCs/>
          <w:color w:val="0D0D0D" w:themeColor="text1" w:themeTint="F2"/>
        </w:rPr>
      </w:pPr>
    </w:p>
    <w:p w14:paraId="1BA34A68" w14:textId="77777777" w:rsidR="00C25DF1" w:rsidRPr="00D869A0" w:rsidRDefault="00C25DF1" w:rsidP="00C25DF1">
      <w:pPr>
        <w:spacing w:line="240" w:lineRule="auto"/>
        <w:contextualSpacing/>
        <w:rPr>
          <w:rFonts w:ascii="Cambria" w:hAnsi="Cambria" w:cs="Times New Roman"/>
          <w:bCs/>
          <w:color w:val="0D0D0D" w:themeColor="text1" w:themeTint="F2"/>
          <w:sz w:val="32"/>
          <w:szCs w:val="32"/>
        </w:rPr>
      </w:pPr>
      <w:r w:rsidRPr="00D869A0">
        <w:rPr>
          <w:rFonts w:ascii="Cambria" w:hAnsi="Cambria" w:cs="Times New Roman"/>
          <w:bCs/>
          <w:color w:val="0D0D0D" w:themeColor="text1" w:themeTint="F2"/>
          <w:sz w:val="32"/>
          <w:szCs w:val="32"/>
        </w:rPr>
        <w:t>Additional Source Materials:</w:t>
      </w:r>
    </w:p>
    <w:p w14:paraId="626A3658" w14:textId="77777777" w:rsidR="00C25DF1" w:rsidRPr="00D869A0" w:rsidRDefault="00C25DF1" w:rsidP="00C25DF1">
      <w:pPr>
        <w:spacing w:line="240" w:lineRule="auto"/>
        <w:contextualSpacing/>
        <w:rPr>
          <w:rFonts w:ascii="Cambria" w:hAnsi="Cambria" w:cs="Times New Roman"/>
          <w:bCs/>
          <w:color w:val="0D0D0D" w:themeColor="text1" w:themeTint="F2"/>
        </w:rPr>
      </w:pPr>
    </w:p>
    <w:p w14:paraId="1FB3C183" w14:textId="77777777" w:rsidR="00C25DF1" w:rsidRPr="00D869A0" w:rsidRDefault="00C25DF1" w:rsidP="00C25DF1">
      <w:pPr>
        <w:spacing w:line="240" w:lineRule="auto"/>
        <w:contextualSpacing/>
        <w:rPr>
          <w:rFonts w:ascii="Cambria" w:hAnsi="Cambria" w:cs="Times New Roman"/>
          <w:bCs/>
          <w:color w:val="0D0D0D" w:themeColor="text1" w:themeTint="F2"/>
        </w:rPr>
      </w:pPr>
      <w:r w:rsidRPr="00D869A0">
        <w:rPr>
          <w:rFonts w:ascii="Cambria" w:hAnsi="Cambria" w:cs="Times New Roman"/>
          <w:bCs/>
          <w:color w:val="0D0D0D" w:themeColor="text1" w:themeTint="F2"/>
        </w:rPr>
        <w:t xml:space="preserve">“Moral Suffering: Notes on Naming Harm and Healing Invisible Wounds,” Joanne Braxton with Eric Busse and Cynda Rushton.  </w:t>
      </w:r>
      <w:hyperlink r:id="rId8" w:history="1">
        <w:r w:rsidRPr="00D869A0">
          <w:rPr>
            <w:rStyle w:val="Hyperlink"/>
            <w:rFonts w:ascii="Cambria" w:hAnsi="Cambria" w:cs="Times New Roman"/>
            <w:bCs/>
            <w:i/>
            <w:iCs/>
          </w:rPr>
          <w:t xml:space="preserve">Perspectives in Biology and Medicine, </w:t>
        </w:r>
        <w:r w:rsidRPr="00D869A0">
          <w:rPr>
            <w:rStyle w:val="Hyperlink"/>
            <w:rFonts w:ascii="Cambria" w:hAnsi="Cambria" w:cs="Times New Roman"/>
            <w:bCs/>
          </w:rPr>
          <w:t>64.2,  Spring 2021, 235-245.</w:t>
        </w:r>
      </w:hyperlink>
    </w:p>
    <w:p w14:paraId="4E137583" w14:textId="77777777" w:rsidR="00C25DF1" w:rsidRPr="00D869A0" w:rsidRDefault="00C25DF1" w:rsidP="00C25DF1">
      <w:pPr>
        <w:spacing w:line="240" w:lineRule="auto"/>
        <w:contextualSpacing/>
        <w:rPr>
          <w:rFonts w:ascii="Cambria" w:hAnsi="Cambria" w:cs="Times New Roman"/>
          <w:bCs/>
          <w:color w:val="0D0D0D" w:themeColor="text1" w:themeTint="F2"/>
        </w:rPr>
      </w:pPr>
    </w:p>
    <w:p w14:paraId="5B9001E6" w14:textId="77777777" w:rsidR="00C25DF1" w:rsidRPr="00D869A0" w:rsidRDefault="00C25DF1" w:rsidP="00C25DF1">
      <w:pPr>
        <w:spacing w:after="0" w:line="276" w:lineRule="auto"/>
        <w:rPr>
          <w:rStyle w:val="Hyperlink"/>
          <w:rFonts w:ascii="Cambria" w:hAnsi="Cambria"/>
        </w:rPr>
      </w:pPr>
      <w:r w:rsidRPr="00D869A0">
        <w:rPr>
          <w:rFonts w:ascii="Cambria" w:hAnsi="Cambria"/>
        </w:rPr>
        <w:t xml:space="preserve">“The Invisible Moral Wounds of the Pandemic: Are We Experiencing Moral Injury?”  Cynda Rushton, Kathleen </w:t>
      </w:r>
      <w:proofErr w:type="gramStart"/>
      <w:r w:rsidRPr="00D869A0">
        <w:rPr>
          <w:rFonts w:ascii="Cambria" w:hAnsi="Cambria"/>
        </w:rPr>
        <w:t>Turner,  Rita</w:t>
      </w:r>
      <w:proofErr w:type="gramEnd"/>
      <w:r w:rsidRPr="00D869A0">
        <w:rPr>
          <w:rFonts w:ascii="Cambria" w:hAnsi="Cambria"/>
        </w:rPr>
        <w:t xml:space="preserve"> Brock and Joanne Braxton. </w:t>
      </w:r>
      <w:hyperlink r:id="rId9" w:history="1">
        <w:r w:rsidRPr="00D869A0">
          <w:rPr>
            <w:rStyle w:val="Hyperlink"/>
            <w:rFonts w:ascii="Cambria" w:hAnsi="Cambria"/>
            <w:i/>
            <w:iCs/>
          </w:rPr>
          <w:t>Journal of the</w:t>
        </w:r>
        <w:r w:rsidRPr="00D869A0">
          <w:rPr>
            <w:rStyle w:val="Hyperlink"/>
            <w:rFonts w:ascii="Cambria" w:hAnsi="Cambria"/>
          </w:rPr>
          <w:t xml:space="preserve"> </w:t>
        </w:r>
        <w:r w:rsidRPr="00D869A0">
          <w:rPr>
            <w:rStyle w:val="Hyperlink"/>
            <w:rFonts w:ascii="Cambria" w:hAnsi="Cambria"/>
            <w:i/>
            <w:iCs/>
          </w:rPr>
          <w:t xml:space="preserve">American Association of Critical Care Nursing, </w:t>
        </w:r>
        <w:r w:rsidRPr="00D869A0">
          <w:rPr>
            <w:rStyle w:val="Hyperlink"/>
            <w:rFonts w:ascii="Cambria" w:hAnsi="Cambria"/>
          </w:rPr>
          <w:t xml:space="preserve"> 32.1, January 2021, 119-125.</w:t>
        </w:r>
      </w:hyperlink>
    </w:p>
    <w:p w14:paraId="3EA5B031" w14:textId="77777777" w:rsidR="00C25DF1" w:rsidRPr="00D869A0" w:rsidRDefault="00C25DF1" w:rsidP="00C25DF1">
      <w:pPr>
        <w:spacing w:after="0" w:line="276" w:lineRule="auto"/>
        <w:rPr>
          <w:rStyle w:val="Hyperlink"/>
          <w:rFonts w:ascii="Cambria" w:hAnsi="Cambria"/>
        </w:rPr>
      </w:pPr>
    </w:p>
    <w:p w14:paraId="75652742" w14:textId="77777777" w:rsidR="00C25DF1" w:rsidRPr="00D869A0" w:rsidRDefault="006C3245" w:rsidP="00C25DF1">
      <w:pPr>
        <w:rPr>
          <w:rFonts w:ascii="Cambria" w:hAnsi="Cambria"/>
        </w:rPr>
      </w:pPr>
      <w:hyperlink r:id="rId10" w:history="1">
        <w:proofErr w:type="gramStart"/>
        <w:r w:rsidR="00C25DF1" w:rsidRPr="00D869A0">
          <w:rPr>
            <w:rStyle w:val="Hyperlink"/>
            <w:rFonts w:ascii="Cambria" w:hAnsi="Cambria"/>
          </w:rPr>
          <w:t>Hell</w:t>
        </w:r>
        <w:proofErr w:type="gramEnd"/>
        <w:r w:rsidR="00C25DF1" w:rsidRPr="00D869A0">
          <w:rPr>
            <w:rStyle w:val="Hyperlink"/>
            <w:rFonts w:ascii="Cambria" w:hAnsi="Cambria"/>
          </w:rPr>
          <w:t xml:space="preserve"> You </w:t>
        </w:r>
        <w:proofErr w:type="spellStart"/>
        <w:r w:rsidR="00C25DF1" w:rsidRPr="00D869A0">
          <w:rPr>
            <w:rStyle w:val="Hyperlink"/>
            <w:rFonts w:ascii="Cambria" w:hAnsi="Cambria"/>
          </w:rPr>
          <w:t>Talm</w:t>
        </w:r>
        <w:proofErr w:type="spellEnd"/>
        <w:r w:rsidR="00C25DF1" w:rsidRPr="00D869A0">
          <w:rPr>
            <w:rStyle w:val="Hyperlink"/>
            <w:rFonts w:ascii="Cambria" w:hAnsi="Cambria"/>
          </w:rPr>
          <w:t xml:space="preserve"> Bout—Janelle </w:t>
        </w:r>
        <w:proofErr w:type="spellStart"/>
        <w:r w:rsidR="00C25DF1" w:rsidRPr="00D869A0">
          <w:rPr>
            <w:rStyle w:val="Hyperlink"/>
            <w:rFonts w:ascii="Cambria" w:hAnsi="Cambria"/>
          </w:rPr>
          <w:t>Monae</w:t>
        </w:r>
        <w:proofErr w:type="spellEnd"/>
        <w:r w:rsidR="00C25DF1" w:rsidRPr="00D869A0">
          <w:rPr>
            <w:rStyle w:val="Hyperlink"/>
            <w:rFonts w:ascii="Cambria" w:hAnsi="Cambria"/>
          </w:rPr>
          <w:t xml:space="preserve"> &amp; Wondaland</w:t>
        </w:r>
      </w:hyperlink>
    </w:p>
    <w:p w14:paraId="449FF88D" w14:textId="77777777" w:rsidR="00C25DF1" w:rsidRPr="00D869A0" w:rsidRDefault="00C25DF1" w:rsidP="00C25DF1">
      <w:pPr>
        <w:rPr>
          <w:rFonts w:ascii="Cambria" w:hAnsi="Cambria"/>
        </w:rPr>
      </w:pPr>
    </w:p>
    <w:p w14:paraId="480F1084" w14:textId="77777777" w:rsidR="00C25DF1" w:rsidRPr="00D869A0" w:rsidRDefault="00C25DF1" w:rsidP="00C25DF1">
      <w:pPr>
        <w:rPr>
          <w:rFonts w:ascii="Cambria" w:hAnsi="Cambria"/>
          <w:sz w:val="32"/>
          <w:szCs w:val="32"/>
        </w:rPr>
      </w:pPr>
      <w:r w:rsidRPr="00D869A0">
        <w:rPr>
          <w:rFonts w:ascii="Cambria" w:hAnsi="Cambria"/>
          <w:sz w:val="32"/>
          <w:szCs w:val="32"/>
        </w:rPr>
        <w:t>Works for Further Study:</w:t>
      </w:r>
    </w:p>
    <w:p w14:paraId="04F962E3" w14:textId="77777777" w:rsidR="00C25DF1" w:rsidRPr="00D869A0" w:rsidRDefault="006C3245" w:rsidP="00C25DF1">
      <w:pPr>
        <w:rPr>
          <w:rStyle w:val="Emphasis"/>
          <w:rFonts w:ascii="Cambria" w:hAnsi="Cambria"/>
        </w:rPr>
      </w:pPr>
      <w:hyperlink r:id="rId11" w:history="1">
        <w:r w:rsidR="00C25DF1" w:rsidRPr="00D869A0">
          <w:rPr>
            <w:rStyle w:val="Hyperlink"/>
            <w:rFonts w:ascii="Cambria" w:hAnsi="Cambria"/>
          </w:rPr>
          <w:t>The Fundamental Role of the Arts and Humanities in Medical Education</w:t>
        </w:r>
      </w:hyperlink>
      <w:r w:rsidR="00C25DF1" w:rsidRPr="00D869A0">
        <w:rPr>
          <w:rStyle w:val="Emphasis"/>
          <w:rFonts w:ascii="Cambria" w:hAnsi="Cambria"/>
        </w:rPr>
        <w:t>—AAMC Monograph</w:t>
      </w:r>
    </w:p>
    <w:p w14:paraId="6E534427" w14:textId="77777777" w:rsidR="00C25DF1" w:rsidRPr="00D869A0" w:rsidRDefault="006C3245" w:rsidP="00C25DF1">
      <w:pPr>
        <w:rPr>
          <w:rFonts w:ascii="Cambria" w:hAnsi="Cambria"/>
          <w:i/>
          <w:iCs/>
        </w:rPr>
      </w:pPr>
      <w:hyperlink r:id="rId12" w:history="1">
        <w:r w:rsidR="00C25DF1" w:rsidRPr="00D869A0">
          <w:rPr>
            <w:rStyle w:val="Hyperlink"/>
            <w:rFonts w:ascii="Cambria" w:hAnsi="Cambria"/>
          </w:rPr>
          <w:t>Moving Toward an Anti-Racist Praxis in Medicine</w:t>
        </w:r>
      </w:hyperlink>
      <w:r w:rsidR="00C25DF1" w:rsidRPr="00D869A0">
        <w:rPr>
          <w:rFonts w:ascii="Cambria" w:hAnsi="Cambria"/>
        </w:rPr>
        <w:t>—</w:t>
      </w:r>
      <w:r w:rsidR="00C25DF1" w:rsidRPr="00D869A0">
        <w:rPr>
          <w:rFonts w:ascii="Cambria" w:hAnsi="Cambria"/>
          <w:i/>
          <w:iCs/>
        </w:rPr>
        <w:t>The Lancet</w:t>
      </w:r>
    </w:p>
    <w:p w14:paraId="0B6A7406" w14:textId="77777777" w:rsidR="00C25DF1" w:rsidRPr="00D869A0" w:rsidRDefault="00C25DF1" w:rsidP="00C25DF1">
      <w:pPr>
        <w:rPr>
          <w:rFonts w:ascii="Cambria" w:hAnsi="Cambria"/>
          <w:sz w:val="32"/>
          <w:szCs w:val="32"/>
        </w:rPr>
      </w:pPr>
    </w:p>
    <w:sectPr w:rsidR="00C25DF1" w:rsidRPr="00D86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D12"/>
    <w:rsid w:val="0002696D"/>
    <w:rsid w:val="00157A23"/>
    <w:rsid w:val="0016458F"/>
    <w:rsid w:val="001A3819"/>
    <w:rsid w:val="00234298"/>
    <w:rsid w:val="003B46F8"/>
    <w:rsid w:val="003C5D12"/>
    <w:rsid w:val="00634A55"/>
    <w:rsid w:val="006A2B67"/>
    <w:rsid w:val="006C3245"/>
    <w:rsid w:val="007657FD"/>
    <w:rsid w:val="007C2FBA"/>
    <w:rsid w:val="009C5C27"/>
    <w:rsid w:val="00A974E3"/>
    <w:rsid w:val="00B31A68"/>
    <w:rsid w:val="00BE3DCE"/>
    <w:rsid w:val="00C01D0E"/>
    <w:rsid w:val="00C25DF1"/>
    <w:rsid w:val="00C77AEE"/>
    <w:rsid w:val="00D13D37"/>
    <w:rsid w:val="00D65313"/>
    <w:rsid w:val="00DB6242"/>
    <w:rsid w:val="00DE06AB"/>
    <w:rsid w:val="00DF7C58"/>
    <w:rsid w:val="00E42354"/>
    <w:rsid w:val="00E52210"/>
    <w:rsid w:val="00F1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1414D"/>
  <w15:chartTrackingRefBased/>
  <w15:docId w15:val="{2A581DF2-67F3-4750-AE0C-7FC70F2B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2210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C2FBA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2F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42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e.jhu.edu/article/790936/summary?fbclid=IwAR3ytdPaSSuuRAK925C6TsAwA8ghnHICrKdqg_RTrrKWiYnGW6FSXEEfdtQ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stor.org/stable/i25089734" TargetMode="External"/><Relationship Id="rId12" Type="http://schemas.openxmlformats.org/officeDocument/2006/relationships/hyperlink" Target="https://www.thelancet.com/journals/lancet/article/PIIS0140-6736(20)31543-9/fulltex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ploads-ssl.webflow.com/5ee7a01d3f7162094dbddcf7/5f3eae0a1da6de668bf4cbc7_Lift%20Every%20Voice_Reader.pdf?fbclid=IwAR33Dr9IgvGIWLq18R6ZPyDRjAAaYGuUoi-nDJHL_MfK-FG3ugplu_05Y3U" TargetMode="External"/><Relationship Id="rId11" Type="http://schemas.openxmlformats.org/officeDocument/2006/relationships/hyperlink" Target="https://www.aamc.org/what-we-do/mission-areas/medical-education/frahme" TargetMode="External"/><Relationship Id="rId5" Type="http://schemas.openxmlformats.org/officeDocument/2006/relationships/hyperlink" Target="https://sojo.net/articles/covid-19-unevenly-culls-humanity" TargetMode="External"/><Relationship Id="rId10" Type="http://schemas.openxmlformats.org/officeDocument/2006/relationships/hyperlink" Target="https://www.google.com/search?client=firefox-b-1-d&amp;q=hell+you+talmbout" TargetMode="External"/><Relationship Id="rId4" Type="http://schemas.openxmlformats.org/officeDocument/2006/relationships/hyperlink" Target="http://www.braxtoninstitute.org" TargetMode="External"/><Relationship Id="rId9" Type="http://schemas.openxmlformats.org/officeDocument/2006/relationships/hyperlink" Target="https://pubmed.ncbi.nlm.nih.gov/3372510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Parker</dc:creator>
  <cp:keywords/>
  <dc:description/>
  <cp:lastModifiedBy>Suzanne Knizner</cp:lastModifiedBy>
  <cp:revision>2</cp:revision>
  <dcterms:created xsi:type="dcterms:W3CDTF">2021-05-06T17:05:00Z</dcterms:created>
  <dcterms:modified xsi:type="dcterms:W3CDTF">2021-05-06T17:05:00Z</dcterms:modified>
</cp:coreProperties>
</file>